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D9893" w14:textId="55E14698" w:rsidR="002E6913" w:rsidRPr="00214EA4" w:rsidRDefault="00B02185" w:rsidP="00BC67EE">
      <w:pPr>
        <w:rPr>
          <w:b/>
          <w:sz w:val="20"/>
          <w:szCs w:val="20"/>
          <w:lang w:val="en-GB"/>
        </w:rPr>
      </w:pPr>
      <w:r>
        <w:rPr>
          <w:b/>
          <w:sz w:val="20"/>
          <w:szCs w:val="20"/>
          <w:lang w:val="en-GB"/>
        </w:rPr>
        <w:t>Clarifications</w:t>
      </w:r>
    </w:p>
    <w:tbl>
      <w:tblPr>
        <w:tblStyle w:val="TableGrid"/>
        <w:tblW w:w="0" w:type="auto"/>
        <w:tblLook w:val="04A0" w:firstRow="1" w:lastRow="0" w:firstColumn="1" w:lastColumn="0" w:noHBand="0" w:noVBand="1"/>
      </w:tblPr>
      <w:tblGrid>
        <w:gridCol w:w="1207"/>
        <w:gridCol w:w="8825"/>
      </w:tblGrid>
      <w:tr w:rsidR="00214EA4" w:rsidRPr="00214EA4" w14:paraId="150B47EB" w14:textId="77777777" w:rsidTr="009F575F">
        <w:trPr>
          <w:cantSplit/>
          <w:trHeight w:val="454"/>
        </w:trPr>
        <w:tc>
          <w:tcPr>
            <w:tcW w:w="1207" w:type="dxa"/>
            <w:tcBorders>
              <w:bottom w:val="single" w:sz="4" w:space="0" w:color="auto"/>
            </w:tcBorders>
            <w:vAlign w:val="center"/>
          </w:tcPr>
          <w:p w14:paraId="0B23CA3E" w14:textId="437EF677" w:rsidR="008E03BC" w:rsidRPr="00214EA4" w:rsidRDefault="008E03BC" w:rsidP="008E03BC">
            <w:pPr>
              <w:spacing w:before="120" w:after="120"/>
              <w:rPr>
                <w:sz w:val="20"/>
                <w:szCs w:val="20"/>
                <w:lang w:val="en-GB"/>
              </w:rPr>
            </w:pPr>
            <w:r w:rsidRPr="00214EA4">
              <w:rPr>
                <w:sz w:val="20"/>
                <w:szCs w:val="20"/>
                <w:lang w:val="en-GB"/>
              </w:rPr>
              <w:t>Tender:</w:t>
            </w:r>
          </w:p>
        </w:tc>
        <w:tc>
          <w:tcPr>
            <w:tcW w:w="8825" w:type="dxa"/>
            <w:tcBorders>
              <w:bottom w:val="single" w:sz="4" w:space="0" w:color="auto"/>
            </w:tcBorders>
            <w:vAlign w:val="center"/>
          </w:tcPr>
          <w:p w14:paraId="2CB8AF07" w14:textId="0B9E2C23" w:rsidR="009846F0" w:rsidRDefault="009846F0" w:rsidP="009846F0">
            <w:pPr>
              <w:spacing w:before="120" w:after="120"/>
              <w:rPr>
                <w:sz w:val="20"/>
                <w:szCs w:val="20"/>
                <w:lang w:val="en-GB"/>
              </w:rPr>
            </w:pPr>
            <w:r w:rsidRPr="009846F0">
              <w:rPr>
                <w:sz w:val="20"/>
                <w:szCs w:val="20"/>
                <w:lang w:val="en-GB"/>
              </w:rPr>
              <w:t>ERDF.05.0121 – Tender 0</w:t>
            </w:r>
            <w:r w:rsidR="006C1262">
              <w:rPr>
                <w:sz w:val="20"/>
                <w:szCs w:val="20"/>
                <w:lang w:val="en-GB"/>
              </w:rPr>
              <w:t>2</w:t>
            </w:r>
            <w:r w:rsidR="005436A6">
              <w:rPr>
                <w:sz w:val="20"/>
                <w:szCs w:val="20"/>
                <w:lang w:val="en-GB"/>
              </w:rPr>
              <w:t>7</w:t>
            </w:r>
          </w:p>
          <w:p w14:paraId="7712531C" w14:textId="4FBF27B7" w:rsidR="008E03BC" w:rsidRPr="005436A6" w:rsidRDefault="005436A6" w:rsidP="005436A6">
            <w:pPr>
              <w:spacing w:before="120" w:after="120"/>
              <w:rPr>
                <w:sz w:val="20"/>
                <w:szCs w:val="20"/>
                <w:lang w:val="en-GB"/>
              </w:rPr>
            </w:pPr>
            <w:r w:rsidRPr="005436A6">
              <w:rPr>
                <w:sz w:val="20"/>
                <w:szCs w:val="20"/>
                <w:lang w:val="en-GB"/>
              </w:rPr>
              <w:t>Tender for the Manufacture, Supply, Delivery and Installation of Fiberglass Watertanks, Galvanized Steel Platform and Vinyl Collapsible Tank as part of ERDF Project ERDF.05.121 – Wildlife Rehabilitation Centre</w:t>
            </w:r>
          </w:p>
        </w:tc>
      </w:tr>
      <w:tr w:rsidR="00214EA4" w:rsidRPr="00214EA4" w14:paraId="61356EBD" w14:textId="77777777" w:rsidTr="009F575F">
        <w:trPr>
          <w:cantSplit/>
          <w:trHeight w:val="604"/>
        </w:trPr>
        <w:tc>
          <w:tcPr>
            <w:tcW w:w="1207" w:type="dxa"/>
            <w:tcBorders>
              <w:top w:val="single" w:sz="4" w:space="0" w:color="auto"/>
              <w:left w:val="nil"/>
              <w:bottom w:val="single" w:sz="4" w:space="0" w:color="auto"/>
              <w:right w:val="nil"/>
            </w:tcBorders>
          </w:tcPr>
          <w:p w14:paraId="39C84152" w14:textId="77777777" w:rsidR="008E03BC" w:rsidRPr="00214EA4" w:rsidRDefault="008E03BC" w:rsidP="008E03BC">
            <w:pPr>
              <w:spacing w:before="120" w:after="120"/>
              <w:rPr>
                <w:sz w:val="20"/>
                <w:szCs w:val="20"/>
                <w:lang w:val="en-GB"/>
              </w:rPr>
            </w:pPr>
          </w:p>
        </w:tc>
        <w:tc>
          <w:tcPr>
            <w:tcW w:w="8825" w:type="dxa"/>
            <w:tcBorders>
              <w:top w:val="single" w:sz="4" w:space="0" w:color="auto"/>
              <w:left w:val="nil"/>
              <w:bottom w:val="single" w:sz="4" w:space="0" w:color="auto"/>
              <w:right w:val="nil"/>
            </w:tcBorders>
          </w:tcPr>
          <w:p w14:paraId="527EB011" w14:textId="3E5E1281" w:rsidR="00E2212C" w:rsidRPr="00E2212C" w:rsidRDefault="00E2212C" w:rsidP="00E2212C">
            <w:pPr>
              <w:tabs>
                <w:tab w:val="left" w:pos="5975"/>
              </w:tabs>
              <w:rPr>
                <w:sz w:val="20"/>
                <w:szCs w:val="20"/>
                <w:lang w:val="en-GB"/>
              </w:rPr>
            </w:pPr>
          </w:p>
        </w:tc>
      </w:tr>
      <w:tr w:rsidR="00B02185" w:rsidRPr="00214EA4" w14:paraId="74C3E460" w14:textId="77777777" w:rsidTr="009F575F">
        <w:trPr>
          <w:cantSplit/>
          <w:trHeight w:val="604"/>
        </w:trPr>
        <w:tc>
          <w:tcPr>
            <w:tcW w:w="1207" w:type="dxa"/>
            <w:tcBorders>
              <w:top w:val="single" w:sz="4" w:space="0" w:color="auto"/>
            </w:tcBorders>
            <w:shd w:val="clear" w:color="auto" w:fill="BFBFBF" w:themeFill="background1" w:themeFillShade="BF"/>
            <w:vAlign w:val="center"/>
          </w:tcPr>
          <w:p w14:paraId="1D578D4E" w14:textId="2FFF68F5" w:rsidR="00B02185" w:rsidRPr="00214EA4" w:rsidRDefault="00B02185" w:rsidP="00B02185">
            <w:pPr>
              <w:spacing w:before="120" w:after="120"/>
              <w:rPr>
                <w:sz w:val="20"/>
                <w:szCs w:val="20"/>
                <w:lang w:val="en-GB"/>
              </w:rPr>
            </w:pPr>
            <w:r>
              <w:rPr>
                <w:sz w:val="20"/>
                <w:szCs w:val="20"/>
                <w:lang w:val="en-GB"/>
              </w:rPr>
              <w:t>No</w:t>
            </w:r>
          </w:p>
        </w:tc>
        <w:tc>
          <w:tcPr>
            <w:tcW w:w="8825" w:type="dxa"/>
            <w:tcBorders>
              <w:top w:val="single" w:sz="4" w:space="0" w:color="auto"/>
            </w:tcBorders>
            <w:shd w:val="clear" w:color="auto" w:fill="BFBFBF" w:themeFill="background1" w:themeFillShade="BF"/>
            <w:vAlign w:val="center"/>
          </w:tcPr>
          <w:p w14:paraId="42D4B22B" w14:textId="6984CD00" w:rsidR="00B02185" w:rsidRPr="00E2212C" w:rsidRDefault="00B02185" w:rsidP="00B02185">
            <w:pPr>
              <w:spacing w:before="120" w:after="120"/>
              <w:rPr>
                <w:sz w:val="20"/>
                <w:szCs w:val="20"/>
                <w:lang w:val="en-GB"/>
              </w:rPr>
            </w:pPr>
            <w:r>
              <w:rPr>
                <w:sz w:val="20"/>
                <w:szCs w:val="20"/>
                <w:lang w:val="en-GB"/>
              </w:rPr>
              <w:t>Clarification</w:t>
            </w:r>
          </w:p>
        </w:tc>
      </w:tr>
      <w:tr w:rsidR="00B02185" w:rsidRPr="00214EA4" w14:paraId="1E4CCB26" w14:textId="77777777" w:rsidTr="009F575F">
        <w:trPr>
          <w:cantSplit/>
          <w:trHeight w:val="1092"/>
        </w:trPr>
        <w:tc>
          <w:tcPr>
            <w:tcW w:w="1207" w:type="dxa"/>
            <w:vMerge w:val="restart"/>
          </w:tcPr>
          <w:p w14:paraId="7B8608D8" w14:textId="4182AD2D" w:rsidR="00B02185" w:rsidRPr="00214EA4" w:rsidRDefault="00B02185" w:rsidP="008E03BC">
            <w:pPr>
              <w:spacing w:before="120" w:after="120"/>
              <w:rPr>
                <w:sz w:val="20"/>
                <w:szCs w:val="20"/>
                <w:lang w:val="en-GB"/>
              </w:rPr>
            </w:pPr>
            <w:r>
              <w:rPr>
                <w:sz w:val="20"/>
                <w:szCs w:val="20"/>
                <w:lang w:val="en-GB"/>
              </w:rPr>
              <w:t>Q 1</w:t>
            </w:r>
          </w:p>
        </w:tc>
        <w:tc>
          <w:tcPr>
            <w:tcW w:w="8825" w:type="dxa"/>
          </w:tcPr>
          <w:p w14:paraId="4001C7ED" w14:textId="3A027523" w:rsidR="00B02185" w:rsidRPr="00B02185" w:rsidRDefault="00B02185" w:rsidP="00E2212C">
            <w:pPr>
              <w:tabs>
                <w:tab w:val="left" w:pos="5975"/>
              </w:tabs>
              <w:rPr>
                <w:b/>
                <w:bCs/>
                <w:sz w:val="20"/>
                <w:szCs w:val="20"/>
                <w:lang w:val="en-GB"/>
              </w:rPr>
            </w:pPr>
            <w:r w:rsidRPr="00B02185">
              <w:rPr>
                <w:b/>
                <w:bCs/>
                <w:sz w:val="20"/>
                <w:szCs w:val="20"/>
                <w:lang w:val="en-GB"/>
              </w:rPr>
              <w:t>Query</w:t>
            </w:r>
          </w:p>
          <w:p w14:paraId="600E43D2" w14:textId="69ECE306" w:rsidR="00B02185" w:rsidRPr="006C1262" w:rsidRDefault="005436A6" w:rsidP="005436A6">
            <w:pPr>
              <w:rPr>
                <w:lang w:val="en-GB"/>
              </w:rPr>
            </w:pPr>
            <w:r>
              <w:t>Reference is made of the galvanized grating. Did you consider the option for fiberglass structure and gradings? it will be more expensive but definitely much better in this kind of environment, reducing drastically the maintenance.</w:t>
            </w:r>
          </w:p>
        </w:tc>
      </w:tr>
      <w:tr w:rsidR="00B02185" w:rsidRPr="00214EA4" w14:paraId="6C0967E3" w14:textId="77777777" w:rsidTr="009F575F">
        <w:trPr>
          <w:cantSplit/>
          <w:trHeight w:val="1091"/>
        </w:trPr>
        <w:tc>
          <w:tcPr>
            <w:tcW w:w="1207" w:type="dxa"/>
            <w:vMerge/>
          </w:tcPr>
          <w:p w14:paraId="30E7F98C" w14:textId="77777777" w:rsidR="00B02185" w:rsidRDefault="00B02185" w:rsidP="008E03BC">
            <w:pPr>
              <w:spacing w:before="120" w:after="120"/>
              <w:rPr>
                <w:sz w:val="20"/>
                <w:szCs w:val="20"/>
                <w:lang w:val="en-GB"/>
              </w:rPr>
            </w:pPr>
          </w:p>
        </w:tc>
        <w:tc>
          <w:tcPr>
            <w:tcW w:w="8825" w:type="dxa"/>
          </w:tcPr>
          <w:p w14:paraId="48B60132" w14:textId="0572D171" w:rsidR="00B02185" w:rsidRPr="009F575F" w:rsidRDefault="00B02185" w:rsidP="00B02185">
            <w:pPr>
              <w:rPr>
                <w:b/>
                <w:bCs/>
              </w:rPr>
            </w:pPr>
            <w:r w:rsidRPr="009F575F">
              <w:rPr>
                <w:b/>
                <w:bCs/>
              </w:rPr>
              <w:t>Answer</w:t>
            </w:r>
          </w:p>
          <w:p w14:paraId="4E5D4ABF" w14:textId="3C163AD1" w:rsidR="00B02185" w:rsidRPr="009846F0" w:rsidRDefault="005436A6" w:rsidP="00B02185">
            <w:pPr>
              <w:rPr>
                <w:lang w:val="en-GB"/>
              </w:rPr>
            </w:pPr>
            <w:r>
              <w:t>The Contracting Authority is not going to, indeed cannot, consider any change to the technical specifications. Bidders are invited to tender for the technical specifications as per tender document.</w:t>
            </w:r>
          </w:p>
        </w:tc>
      </w:tr>
      <w:tr w:rsidR="006C1262" w:rsidRPr="00214EA4" w14:paraId="6A0E17B5" w14:textId="77777777" w:rsidTr="003C2FF1">
        <w:trPr>
          <w:cantSplit/>
          <w:trHeight w:val="454"/>
        </w:trPr>
        <w:tc>
          <w:tcPr>
            <w:tcW w:w="1207" w:type="dxa"/>
            <w:vMerge w:val="restart"/>
            <w:shd w:val="clear" w:color="auto" w:fill="auto"/>
          </w:tcPr>
          <w:p w14:paraId="2EB286E5" w14:textId="56A49629" w:rsidR="006C1262" w:rsidRPr="005436A6" w:rsidRDefault="005436A6" w:rsidP="006C1262">
            <w:pPr>
              <w:spacing w:before="120" w:after="120"/>
              <w:jc w:val="center"/>
              <w:rPr>
                <w:sz w:val="20"/>
                <w:szCs w:val="20"/>
                <w:lang w:val="en-GB"/>
              </w:rPr>
            </w:pPr>
            <w:r>
              <w:rPr>
                <w:sz w:val="20"/>
                <w:szCs w:val="20"/>
              </w:rPr>
              <w:t>Q2</w:t>
            </w:r>
          </w:p>
        </w:tc>
        <w:tc>
          <w:tcPr>
            <w:tcW w:w="8825" w:type="dxa"/>
            <w:shd w:val="clear" w:color="auto" w:fill="auto"/>
            <w:vAlign w:val="center"/>
          </w:tcPr>
          <w:p w14:paraId="29F13846" w14:textId="77777777" w:rsidR="005436A6" w:rsidRPr="00B02185" w:rsidRDefault="005436A6" w:rsidP="005436A6">
            <w:pPr>
              <w:tabs>
                <w:tab w:val="left" w:pos="5975"/>
              </w:tabs>
              <w:rPr>
                <w:b/>
                <w:bCs/>
                <w:sz w:val="20"/>
                <w:szCs w:val="20"/>
                <w:lang w:val="en-GB"/>
              </w:rPr>
            </w:pPr>
            <w:r w:rsidRPr="00B02185">
              <w:rPr>
                <w:b/>
                <w:bCs/>
                <w:sz w:val="20"/>
                <w:szCs w:val="20"/>
                <w:lang w:val="en-GB"/>
              </w:rPr>
              <w:t>Query</w:t>
            </w:r>
          </w:p>
          <w:p w14:paraId="11EDC793" w14:textId="039AC6D0" w:rsidR="006C1262" w:rsidRPr="005436A6" w:rsidRDefault="005436A6" w:rsidP="005436A6">
            <w:pPr>
              <w:rPr>
                <w:lang w:val="en-GB"/>
              </w:rPr>
            </w:pPr>
            <w:r>
              <w:t>We have a technical concern with regards to the tanks dia 2m, our standard ranges are either 1.8 dia or 2.1 dia. would any of these dimensions be acceptable? if yes please advise which dia is accepted?</w:t>
            </w:r>
          </w:p>
        </w:tc>
      </w:tr>
      <w:tr w:rsidR="006C1262" w:rsidRPr="00214EA4" w14:paraId="00E98C6D" w14:textId="77777777" w:rsidTr="003C2FF1">
        <w:trPr>
          <w:cantSplit/>
          <w:trHeight w:val="454"/>
        </w:trPr>
        <w:tc>
          <w:tcPr>
            <w:tcW w:w="1207" w:type="dxa"/>
            <w:vMerge/>
            <w:shd w:val="clear" w:color="auto" w:fill="auto"/>
          </w:tcPr>
          <w:p w14:paraId="0F55630B" w14:textId="77777777" w:rsidR="006C1262" w:rsidRPr="00406F02" w:rsidRDefault="006C1262" w:rsidP="006C1262">
            <w:pPr>
              <w:spacing w:before="120" w:after="120"/>
              <w:jc w:val="center"/>
              <w:rPr>
                <w:sz w:val="20"/>
                <w:szCs w:val="20"/>
              </w:rPr>
            </w:pPr>
          </w:p>
        </w:tc>
        <w:tc>
          <w:tcPr>
            <w:tcW w:w="8825" w:type="dxa"/>
            <w:shd w:val="clear" w:color="auto" w:fill="auto"/>
          </w:tcPr>
          <w:p w14:paraId="6D379385" w14:textId="77777777" w:rsidR="005436A6" w:rsidRPr="009F575F" w:rsidRDefault="005436A6" w:rsidP="005436A6">
            <w:pPr>
              <w:rPr>
                <w:b/>
                <w:bCs/>
              </w:rPr>
            </w:pPr>
            <w:r w:rsidRPr="009F575F">
              <w:rPr>
                <w:b/>
                <w:bCs/>
              </w:rPr>
              <w:t>Answer</w:t>
            </w:r>
          </w:p>
          <w:p w14:paraId="59C54B60" w14:textId="1ED22939" w:rsidR="006C1262" w:rsidRPr="005436A6" w:rsidRDefault="005436A6" w:rsidP="005436A6">
            <w:pPr>
              <w:tabs>
                <w:tab w:val="left" w:pos="5975"/>
              </w:tabs>
              <w:rPr>
                <w:sz w:val="20"/>
                <w:szCs w:val="20"/>
                <w:lang w:val="en-GB"/>
              </w:rPr>
            </w:pPr>
            <w:r>
              <w:rPr>
                <w:sz w:val="20"/>
                <w:szCs w:val="20"/>
              </w:rPr>
              <w:t xml:space="preserve">The Contracting Authority will </w:t>
            </w:r>
            <w:r w:rsidR="00C2578E">
              <w:rPr>
                <w:sz w:val="20"/>
                <w:szCs w:val="20"/>
              </w:rPr>
              <w:t xml:space="preserve">accept minor deviances from the </w:t>
            </w:r>
            <w:r w:rsidR="00C2578E">
              <w:rPr>
                <w:sz w:val="20"/>
                <w:szCs w:val="20"/>
              </w:rPr>
              <w:t>dimensions in the tender document</w:t>
            </w:r>
            <w:r w:rsidR="00C2578E">
              <w:rPr>
                <w:sz w:val="20"/>
                <w:szCs w:val="20"/>
              </w:rPr>
              <w:t xml:space="preserve"> within the range </w:t>
            </w:r>
            <w:r>
              <w:rPr>
                <w:sz w:val="20"/>
                <w:szCs w:val="20"/>
              </w:rPr>
              <w:t xml:space="preserve">of </w:t>
            </w:r>
            <w:r w:rsidR="00C2578E">
              <w:rPr>
                <w:rFonts w:cstheme="minorHAnsi"/>
                <w:sz w:val="20"/>
                <w:szCs w:val="20"/>
              </w:rPr>
              <w:t>+</w:t>
            </w:r>
            <w:r>
              <w:rPr>
                <w:sz w:val="20"/>
                <w:szCs w:val="20"/>
              </w:rPr>
              <w:t xml:space="preserve"> 10cm </w:t>
            </w:r>
            <w:r w:rsidR="00C2578E">
              <w:rPr>
                <w:sz w:val="20"/>
                <w:szCs w:val="20"/>
              </w:rPr>
              <w:t>to – 5cm</w:t>
            </w:r>
            <w:r>
              <w:rPr>
                <w:sz w:val="20"/>
                <w:szCs w:val="20"/>
              </w:rPr>
              <w:t>.</w:t>
            </w:r>
          </w:p>
        </w:tc>
      </w:tr>
      <w:tr w:rsidR="006C1262" w:rsidRPr="00214EA4" w14:paraId="048EB379" w14:textId="77777777" w:rsidTr="003C2FF1">
        <w:trPr>
          <w:cantSplit/>
          <w:trHeight w:val="454"/>
        </w:trPr>
        <w:tc>
          <w:tcPr>
            <w:tcW w:w="1207" w:type="dxa"/>
            <w:vMerge w:val="restart"/>
            <w:shd w:val="clear" w:color="auto" w:fill="auto"/>
          </w:tcPr>
          <w:p w14:paraId="32AB0D13" w14:textId="3A026435" w:rsidR="006C1262" w:rsidRPr="00406F02" w:rsidRDefault="005436A6" w:rsidP="006C1262">
            <w:pPr>
              <w:spacing w:before="120" w:after="120"/>
              <w:jc w:val="center"/>
              <w:rPr>
                <w:sz w:val="20"/>
                <w:szCs w:val="20"/>
              </w:rPr>
            </w:pPr>
            <w:r>
              <w:rPr>
                <w:sz w:val="20"/>
                <w:szCs w:val="20"/>
              </w:rPr>
              <w:t>Q3</w:t>
            </w:r>
          </w:p>
        </w:tc>
        <w:tc>
          <w:tcPr>
            <w:tcW w:w="8825" w:type="dxa"/>
            <w:shd w:val="clear" w:color="auto" w:fill="auto"/>
            <w:vAlign w:val="center"/>
          </w:tcPr>
          <w:p w14:paraId="59216A2B" w14:textId="2969E6FB" w:rsidR="006C1262" w:rsidRPr="005436A6" w:rsidRDefault="005436A6" w:rsidP="005436A6">
            <w:pPr>
              <w:tabs>
                <w:tab w:val="left" w:pos="5975"/>
              </w:tabs>
              <w:rPr>
                <w:b/>
                <w:bCs/>
                <w:sz w:val="20"/>
                <w:szCs w:val="20"/>
                <w:lang w:val="en-GB"/>
              </w:rPr>
            </w:pPr>
            <w:r w:rsidRPr="00B02185">
              <w:rPr>
                <w:b/>
                <w:bCs/>
                <w:sz w:val="20"/>
                <w:szCs w:val="20"/>
                <w:lang w:val="en-GB"/>
              </w:rPr>
              <w:t>Query</w:t>
            </w:r>
          </w:p>
          <w:p w14:paraId="6721538A" w14:textId="7188ECB1" w:rsidR="005436A6" w:rsidRPr="005436A6" w:rsidRDefault="005436A6" w:rsidP="005436A6">
            <w:pPr>
              <w:rPr>
                <w:lang w:val="en-GB"/>
              </w:rPr>
            </w:pPr>
            <w:r>
              <w:t>Could you please confirm that as a tank structure only the connections are required and no further plumbing or sensors needs to be acquired as part of the package? </w:t>
            </w:r>
          </w:p>
        </w:tc>
      </w:tr>
      <w:tr w:rsidR="005436A6" w:rsidRPr="00214EA4" w14:paraId="28470A81" w14:textId="77777777" w:rsidTr="003C2FF1">
        <w:trPr>
          <w:cantSplit/>
          <w:trHeight w:val="454"/>
        </w:trPr>
        <w:tc>
          <w:tcPr>
            <w:tcW w:w="1207" w:type="dxa"/>
            <w:vMerge/>
            <w:shd w:val="clear" w:color="auto" w:fill="auto"/>
          </w:tcPr>
          <w:p w14:paraId="3CAB4CDF" w14:textId="77777777" w:rsidR="005436A6" w:rsidRPr="00406F02" w:rsidRDefault="005436A6" w:rsidP="005436A6">
            <w:pPr>
              <w:spacing w:before="120" w:after="120"/>
              <w:jc w:val="center"/>
              <w:rPr>
                <w:sz w:val="20"/>
                <w:szCs w:val="20"/>
              </w:rPr>
            </w:pPr>
          </w:p>
        </w:tc>
        <w:tc>
          <w:tcPr>
            <w:tcW w:w="8825" w:type="dxa"/>
            <w:shd w:val="clear" w:color="auto" w:fill="auto"/>
          </w:tcPr>
          <w:p w14:paraId="54164582" w14:textId="77777777" w:rsidR="005436A6" w:rsidRPr="009F575F" w:rsidRDefault="005436A6" w:rsidP="005436A6">
            <w:pPr>
              <w:rPr>
                <w:b/>
                <w:bCs/>
              </w:rPr>
            </w:pPr>
            <w:r w:rsidRPr="009F575F">
              <w:rPr>
                <w:b/>
                <w:bCs/>
              </w:rPr>
              <w:t>Answer</w:t>
            </w:r>
          </w:p>
          <w:p w14:paraId="12B0EB7E" w14:textId="700DC3F3" w:rsidR="005436A6" w:rsidRPr="006C1262" w:rsidRDefault="005436A6" w:rsidP="005436A6">
            <w:pPr>
              <w:tabs>
                <w:tab w:val="left" w:pos="5975"/>
              </w:tabs>
              <w:rPr>
                <w:sz w:val="20"/>
                <w:szCs w:val="20"/>
              </w:rPr>
            </w:pPr>
            <w:r>
              <w:rPr>
                <w:sz w:val="20"/>
                <w:szCs w:val="20"/>
              </w:rPr>
              <w:t>Bidders are to quote for the requirements as spelled out in the tender document/s.</w:t>
            </w:r>
          </w:p>
        </w:tc>
      </w:tr>
      <w:tr w:rsidR="005436A6" w:rsidRPr="00214EA4" w14:paraId="787E1B29" w14:textId="77777777" w:rsidTr="003C2FF1">
        <w:trPr>
          <w:cantSplit/>
          <w:trHeight w:val="454"/>
        </w:trPr>
        <w:tc>
          <w:tcPr>
            <w:tcW w:w="1207" w:type="dxa"/>
            <w:vMerge w:val="restart"/>
            <w:shd w:val="clear" w:color="auto" w:fill="auto"/>
          </w:tcPr>
          <w:p w14:paraId="62A970C8" w14:textId="0426C79B" w:rsidR="005436A6" w:rsidRPr="00406F02" w:rsidRDefault="003C2FF1" w:rsidP="005436A6">
            <w:pPr>
              <w:spacing w:before="120" w:after="120"/>
              <w:jc w:val="center"/>
              <w:rPr>
                <w:sz w:val="20"/>
                <w:szCs w:val="20"/>
              </w:rPr>
            </w:pPr>
            <w:r>
              <w:rPr>
                <w:sz w:val="20"/>
                <w:szCs w:val="20"/>
              </w:rPr>
              <w:t>Q4</w:t>
            </w:r>
          </w:p>
        </w:tc>
        <w:tc>
          <w:tcPr>
            <w:tcW w:w="8825" w:type="dxa"/>
            <w:shd w:val="clear" w:color="auto" w:fill="auto"/>
            <w:vAlign w:val="center"/>
          </w:tcPr>
          <w:p w14:paraId="5257FECF" w14:textId="77777777" w:rsidR="005436A6" w:rsidRPr="005436A6" w:rsidRDefault="005436A6" w:rsidP="005436A6">
            <w:pPr>
              <w:tabs>
                <w:tab w:val="left" w:pos="5975"/>
              </w:tabs>
              <w:rPr>
                <w:b/>
                <w:bCs/>
                <w:sz w:val="20"/>
                <w:szCs w:val="20"/>
                <w:lang w:val="en-GB"/>
              </w:rPr>
            </w:pPr>
            <w:r w:rsidRPr="00B02185">
              <w:rPr>
                <w:b/>
                <w:bCs/>
                <w:sz w:val="20"/>
                <w:szCs w:val="20"/>
                <w:lang w:val="en-GB"/>
              </w:rPr>
              <w:t>Query</w:t>
            </w:r>
          </w:p>
          <w:p w14:paraId="1958A351" w14:textId="15FE7597" w:rsidR="005436A6" w:rsidRPr="005436A6" w:rsidRDefault="005436A6" w:rsidP="005436A6">
            <w:r>
              <w:t>The tender specified that the platform railings and underlying structure is to be manufactured from steel, we would like to know if GRP considered?</w:t>
            </w:r>
          </w:p>
        </w:tc>
      </w:tr>
      <w:tr w:rsidR="005436A6" w:rsidRPr="00214EA4" w14:paraId="11283775" w14:textId="77777777" w:rsidTr="003C2FF1">
        <w:trPr>
          <w:cantSplit/>
          <w:trHeight w:val="454"/>
        </w:trPr>
        <w:tc>
          <w:tcPr>
            <w:tcW w:w="1207" w:type="dxa"/>
            <w:vMerge/>
            <w:shd w:val="clear" w:color="auto" w:fill="auto"/>
          </w:tcPr>
          <w:p w14:paraId="5D0BD59C" w14:textId="77777777" w:rsidR="005436A6" w:rsidRPr="00406F02" w:rsidRDefault="005436A6" w:rsidP="005436A6">
            <w:pPr>
              <w:spacing w:before="120" w:after="120"/>
              <w:jc w:val="center"/>
              <w:rPr>
                <w:sz w:val="20"/>
                <w:szCs w:val="20"/>
              </w:rPr>
            </w:pPr>
          </w:p>
        </w:tc>
        <w:tc>
          <w:tcPr>
            <w:tcW w:w="8825" w:type="dxa"/>
            <w:shd w:val="clear" w:color="auto" w:fill="auto"/>
          </w:tcPr>
          <w:p w14:paraId="084FAC1E" w14:textId="77777777" w:rsidR="003C2FF1" w:rsidRPr="009F575F" w:rsidRDefault="003C2FF1" w:rsidP="003C2FF1">
            <w:pPr>
              <w:rPr>
                <w:b/>
                <w:bCs/>
              </w:rPr>
            </w:pPr>
            <w:r w:rsidRPr="009F575F">
              <w:rPr>
                <w:b/>
                <w:bCs/>
              </w:rPr>
              <w:t>Answer</w:t>
            </w:r>
          </w:p>
          <w:p w14:paraId="2A0EB450" w14:textId="738AA934" w:rsidR="005436A6" w:rsidRPr="00E2212C" w:rsidRDefault="003C2FF1" w:rsidP="003C2FF1">
            <w:pPr>
              <w:tabs>
                <w:tab w:val="left" w:pos="260"/>
                <w:tab w:val="left" w:pos="5975"/>
              </w:tabs>
              <w:rPr>
                <w:sz w:val="20"/>
                <w:szCs w:val="20"/>
                <w:lang w:val="en-GB"/>
              </w:rPr>
            </w:pPr>
            <w:r>
              <w:t>The Contracting Authority is not going to, indeed cannot, consider any change to the technical specifications. Bidders are invited to tender for the technical specifications as per tender document.</w:t>
            </w:r>
          </w:p>
        </w:tc>
      </w:tr>
      <w:tr w:rsidR="005436A6" w:rsidRPr="00214EA4" w14:paraId="153E02BB" w14:textId="77777777" w:rsidTr="00330D6C">
        <w:trPr>
          <w:cantSplit/>
          <w:trHeight w:val="454"/>
        </w:trPr>
        <w:tc>
          <w:tcPr>
            <w:tcW w:w="1207" w:type="dxa"/>
            <w:vMerge w:val="restart"/>
            <w:shd w:val="clear" w:color="auto" w:fill="FFC000"/>
          </w:tcPr>
          <w:p w14:paraId="64BD581F" w14:textId="77777777" w:rsidR="005436A6" w:rsidRPr="00406F02" w:rsidRDefault="005436A6" w:rsidP="005436A6">
            <w:pPr>
              <w:spacing w:before="120" w:after="120"/>
              <w:rPr>
                <w:sz w:val="20"/>
                <w:szCs w:val="20"/>
              </w:rPr>
            </w:pPr>
          </w:p>
        </w:tc>
        <w:tc>
          <w:tcPr>
            <w:tcW w:w="8825" w:type="dxa"/>
            <w:shd w:val="clear" w:color="auto" w:fill="FFC000"/>
            <w:vAlign w:val="center"/>
          </w:tcPr>
          <w:p w14:paraId="4EEA8004" w14:textId="338256B4" w:rsidR="005436A6" w:rsidRPr="00E2212C" w:rsidRDefault="005436A6" w:rsidP="005436A6">
            <w:pPr>
              <w:tabs>
                <w:tab w:val="left" w:pos="5975"/>
              </w:tabs>
              <w:jc w:val="center"/>
              <w:rPr>
                <w:sz w:val="20"/>
                <w:szCs w:val="20"/>
                <w:lang w:val="en-GB"/>
              </w:rPr>
            </w:pPr>
            <w:r>
              <w:rPr>
                <w:sz w:val="20"/>
                <w:szCs w:val="20"/>
              </w:rPr>
              <w:t>No More Queries so far</w:t>
            </w:r>
          </w:p>
        </w:tc>
      </w:tr>
      <w:tr w:rsidR="005436A6" w:rsidRPr="00214EA4" w14:paraId="0D931A03" w14:textId="77777777" w:rsidTr="00330D6C">
        <w:trPr>
          <w:cantSplit/>
          <w:trHeight w:val="454"/>
        </w:trPr>
        <w:tc>
          <w:tcPr>
            <w:tcW w:w="1207" w:type="dxa"/>
            <w:vMerge/>
            <w:shd w:val="clear" w:color="auto" w:fill="FFC000"/>
          </w:tcPr>
          <w:p w14:paraId="4091D061" w14:textId="77777777" w:rsidR="005436A6" w:rsidRPr="00406F02" w:rsidRDefault="005436A6" w:rsidP="005436A6">
            <w:pPr>
              <w:spacing w:before="120" w:after="120"/>
              <w:rPr>
                <w:sz w:val="20"/>
                <w:szCs w:val="20"/>
              </w:rPr>
            </w:pPr>
          </w:p>
        </w:tc>
        <w:tc>
          <w:tcPr>
            <w:tcW w:w="8825" w:type="dxa"/>
            <w:shd w:val="clear" w:color="auto" w:fill="FFC000"/>
          </w:tcPr>
          <w:p w14:paraId="34F3F1E1" w14:textId="77777777" w:rsidR="005436A6" w:rsidRPr="00E2212C" w:rsidRDefault="005436A6" w:rsidP="005436A6">
            <w:pPr>
              <w:tabs>
                <w:tab w:val="left" w:pos="5975"/>
              </w:tabs>
              <w:rPr>
                <w:sz w:val="20"/>
                <w:szCs w:val="20"/>
                <w:lang w:val="en-GB"/>
              </w:rPr>
            </w:pPr>
          </w:p>
        </w:tc>
      </w:tr>
    </w:tbl>
    <w:p w14:paraId="4DED5705" w14:textId="12BC5398" w:rsidR="008E03BC" w:rsidRDefault="008E03BC">
      <w:pPr>
        <w:rPr>
          <w:sz w:val="20"/>
          <w:szCs w:val="20"/>
          <w:lang w:val="en-GB"/>
        </w:rPr>
      </w:pPr>
    </w:p>
    <w:tbl>
      <w:tblPr>
        <w:tblStyle w:val="TableGrid"/>
        <w:tblW w:w="10066"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65"/>
        <w:gridCol w:w="1849"/>
        <w:gridCol w:w="1152"/>
      </w:tblGrid>
      <w:tr w:rsidR="003C2FF1" w:rsidRPr="00217F99" w14:paraId="465132BA" w14:textId="77777777" w:rsidTr="004B3758">
        <w:trPr>
          <w:trHeight w:val="1154"/>
        </w:trPr>
        <w:tc>
          <w:tcPr>
            <w:tcW w:w="7065" w:type="dxa"/>
            <w:shd w:val="clear" w:color="auto" w:fill="D9D9D9" w:themeFill="background1" w:themeFillShade="D9"/>
            <w:vAlign w:val="center"/>
          </w:tcPr>
          <w:p w14:paraId="159B907E" w14:textId="77777777" w:rsidR="003C2FF1" w:rsidRPr="00217F99" w:rsidRDefault="003C2FF1" w:rsidP="003C2FF1">
            <w:pPr>
              <w:rPr>
                <w:rFonts w:cstheme="minorHAnsi"/>
                <w:sz w:val="18"/>
                <w:szCs w:val="18"/>
                <w:lang w:val="en-GB"/>
              </w:rPr>
            </w:pPr>
            <w:r w:rsidRPr="00217F99">
              <w:rPr>
                <w:rFonts w:cstheme="minorHAnsi"/>
                <w:sz w:val="18"/>
                <w:szCs w:val="18"/>
                <w:lang w:val="en-GB"/>
              </w:rPr>
              <w:t>Deadline for request for any additional information from the NGO</w:t>
            </w:r>
          </w:p>
          <w:p w14:paraId="68874E4F" w14:textId="77777777" w:rsidR="003C2FF1" w:rsidRPr="00217F99" w:rsidRDefault="003C2FF1" w:rsidP="003C2FF1">
            <w:pPr>
              <w:rPr>
                <w:rFonts w:cstheme="minorHAnsi"/>
                <w:b/>
                <w:sz w:val="18"/>
                <w:szCs w:val="18"/>
                <w:lang w:val="en-GB"/>
              </w:rPr>
            </w:pPr>
            <w:r w:rsidRPr="00217F99">
              <w:rPr>
                <w:rFonts w:cstheme="minorHAnsi"/>
                <w:b/>
                <w:sz w:val="18"/>
                <w:szCs w:val="18"/>
                <w:lang w:val="en-GB"/>
              </w:rPr>
              <w:t xml:space="preserve">Clarification requests should be addressed to: </w:t>
            </w:r>
            <w:r w:rsidRPr="00217F99">
              <w:rPr>
                <w:rFonts w:cstheme="minorHAnsi"/>
                <w:b/>
                <w:i/>
                <w:sz w:val="18"/>
                <w:szCs w:val="18"/>
                <w:lang w:val="en-GB"/>
              </w:rPr>
              <w:t>info@naturetrustmalta.org</w:t>
            </w:r>
          </w:p>
        </w:tc>
        <w:tc>
          <w:tcPr>
            <w:tcW w:w="1849" w:type="dxa"/>
            <w:shd w:val="clear" w:color="auto" w:fill="FFFF00"/>
            <w:vAlign w:val="center"/>
          </w:tcPr>
          <w:p w14:paraId="29D41BC8" w14:textId="244C1BA1" w:rsidR="003C2FF1" w:rsidRPr="0000652C" w:rsidRDefault="003C2FF1" w:rsidP="003C2FF1">
            <w:pPr>
              <w:jc w:val="center"/>
              <w:rPr>
                <w:rFonts w:cstheme="minorHAnsi"/>
                <w:sz w:val="20"/>
                <w:szCs w:val="20"/>
                <w:lang w:val="en-GB"/>
              </w:rPr>
            </w:pPr>
            <w:r>
              <w:rPr>
                <w:rFonts w:cstheme="minorHAnsi"/>
                <w:sz w:val="20"/>
                <w:szCs w:val="20"/>
                <w:lang w:val="en-GB"/>
              </w:rPr>
              <w:t>Wednesday 23</w:t>
            </w:r>
            <w:r>
              <w:rPr>
                <w:rFonts w:cstheme="minorHAnsi"/>
                <w:sz w:val="20"/>
                <w:szCs w:val="20"/>
                <w:vertAlign w:val="superscript"/>
                <w:lang w:val="en-GB"/>
              </w:rPr>
              <w:t>rd</w:t>
            </w:r>
            <w:r>
              <w:rPr>
                <w:rFonts w:cstheme="minorHAnsi"/>
                <w:sz w:val="20"/>
                <w:szCs w:val="20"/>
                <w:lang w:val="en-GB"/>
              </w:rPr>
              <w:t xml:space="preserve"> December 2020</w:t>
            </w:r>
          </w:p>
        </w:tc>
        <w:tc>
          <w:tcPr>
            <w:tcW w:w="1152" w:type="dxa"/>
            <w:shd w:val="clear" w:color="auto" w:fill="FFFF00"/>
            <w:vAlign w:val="center"/>
          </w:tcPr>
          <w:p w14:paraId="0068AB50" w14:textId="77777777" w:rsidR="003C2FF1" w:rsidRDefault="003C2FF1" w:rsidP="003C2FF1">
            <w:pPr>
              <w:jc w:val="center"/>
              <w:rPr>
                <w:rFonts w:cstheme="minorHAnsi"/>
                <w:sz w:val="18"/>
                <w:szCs w:val="18"/>
                <w:lang w:val="en-GB"/>
              </w:rPr>
            </w:pPr>
            <w:r>
              <w:rPr>
                <w:rFonts w:cstheme="minorHAnsi"/>
                <w:sz w:val="18"/>
                <w:szCs w:val="18"/>
                <w:lang w:val="en-GB"/>
              </w:rPr>
              <w:t>12:00 hrs</w:t>
            </w:r>
          </w:p>
          <w:p w14:paraId="68134529" w14:textId="4A80C220" w:rsidR="003C2FF1" w:rsidRPr="00217F99" w:rsidRDefault="003C2FF1" w:rsidP="003C2FF1">
            <w:pPr>
              <w:jc w:val="center"/>
              <w:rPr>
                <w:rFonts w:cstheme="minorHAnsi"/>
                <w:sz w:val="20"/>
                <w:szCs w:val="20"/>
                <w:lang w:val="en-GB"/>
              </w:rPr>
            </w:pPr>
            <w:r>
              <w:rPr>
                <w:rFonts w:cstheme="minorHAnsi"/>
                <w:sz w:val="18"/>
                <w:szCs w:val="18"/>
                <w:lang w:val="en-GB"/>
              </w:rPr>
              <w:t>(noon)</w:t>
            </w:r>
          </w:p>
        </w:tc>
      </w:tr>
      <w:tr w:rsidR="003C2FF1" w:rsidRPr="00217F99" w14:paraId="7E4C833A" w14:textId="77777777" w:rsidTr="004B3758">
        <w:trPr>
          <w:trHeight w:val="835"/>
        </w:trPr>
        <w:tc>
          <w:tcPr>
            <w:tcW w:w="7065" w:type="dxa"/>
            <w:shd w:val="clear" w:color="auto" w:fill="D9D9D9" w:themeFill="background1" w:themeFillShade="D9"/>
            <w:vAlign w:val="center"/>
          </w:tcPr>
          <w:p w14:paraId="3413D493" w14:textId="77777777" w:rsidR="003C2FF1" w:rsidRPr="00217F99" w:rsidRDefault="003C2FF1" w:rsidP="003C2FF1">
            <w:pPr>
              <w:rPr>
                <w:rFonts w:cstheme="minorHAnsi"/>
                <w:sz w:val="20"/>
                <w:szCs w:val="20"/>
                <w:lang w:val="en-GB"/>
              </w:rPr>
            </w:pPr>
            <w:r w:rsidRPr="00217F99">
              <w:rPr>
                <w:rFonts w:cstheme="minorHAnsi"/>
                <w:sz w:val="18"/>
                <w:szCs w:val="18"/>
                <w:lang w:val="en-GB"/>
              </w:rPr>
              <w:t>Last date on which additional information can be issued by the NGO</w:t>
            </w:r>
          </w:p>
        </w:tc>
        <w:tc>
          <w:tcPr>
            <w:tcW w:w="1849" w:type="dxa"/>
            <w:shd w:val="clear" w:color="auto" w:fill="FFFF00"/>
            <w:vAlign w:val="center"/>
          </w:tcPr>
          <w:p w14:paraId="77CEDE6B" w14:textId="45DF1505" w:rsidR="003C2FF1" w:rsidRPr="0000652C" w:rsidRDefault="003C2FF1" w:rsidP="003C2FF1">
            <w:pPr>
              <w:jc w:val="center"/>
              <w:rPr>
                <w:rFonts w:cstheme="minorHAnsi"/>
                <w:sz w:val="20"/>
                <w:szCs w:val="20"/>
                <w:lang w:val="en-GB"/>
              </w:rPr>
            </w:pPr>
            <w:r>
              <w:rPr>
                <w:rFonts w:cstheme="minorHAnsi"/>
                <w:sz w:val="20"/>
                <w:szCs w:val="20"/>
                <w:lang w:val="en-GB"/>
              </w:rPr>
              <w:t>Monday 28</w:t>
            </w:r>
            <w:r>
              <w:rPr>
                <w:rFonts w:cstheme="minorHAnsi"/>
                <w:sz w:val="20"/>
                <w:szCs w:val="20"/>
                <w:vertAlign w:val="superscript"/>
                <w:lang w:val="en-GB"/>
              </w:rPr>
              <w:t>th</w:t>
            </w:r>
            <w:r>
              <w:rPr>
                <w:rFonts w:cstheme="minorHAnsi"/>
                <w:sz w:val="20"/>
                <w:szCs w:val="20"/>
                <w:lang w:val="en-GB"/>
              </w:rPr>
              <w:t xml:space="preserve"> December 2020</w:t>
            </w:r>
          </w:p>
        </w:tc>
        <w:tc>
          <w:tcPr>
            <w:tcW w:w="1152" w:type="dxa"/>
            <w:shd w:val="clear" w:color="auto" w:fill="FFFF00"/>
            <w:vAlign w:val="center"/>
          </w:tcPr>
          <w:p w14:paraId="7F971851" w14:textId="77777777" w:rsidR="003C2FF1" w:rsidRDefault="003C2FF1" w:rsidP="003C2FF1">
            <w:pPr>
              <w:jc w:val="center"/>
              <w:rPr>
                <w:rFonts w:cstheme="minorHAnsi"/>
                <w:sz w:val="18"/>
                <w:szCs w:val="18"/>
                <w:lang w:val="en-GB"/>
              </w:rPr>
            </w:pPr>
            <w:r>
              <w:rPr>
                <w:rFonts w:cstheme="minorHAnsi"/>
                <w:sz w:val="18"/>
                <w:szCs w:val="18"/>
                <w:lang w:val="en-GB"/>
              </w:rPr>
              <w:t>12:00 hrs</w:t>
            </w:r>
          </w:p>
          <w:p w14:paraId="32BFAC94" w14:textId="628CCE70" w:rsidR="003C2FF1" w:rsidRPr="00217F99" w:rsidRDefault="003C2FF1" w:rsidP="003C2FF1">
            <w:pPr>
              <w:jc w:val="center"/>
              <w:rPr>
                <w:rFonts w:cstheme="minorHAnsi"/>
                <w:sz w:val="20"/>
                <w:szCs w:val="20"/>
                <w:lang w:val="en-GB"/>
              </w:rPr>
            </w:pPr>
            <w:r>
              <w:rPr>
                <w:rFonts w:cstheme="minorHAnsi"/>
                <w:sz w:val="18"/>
                <w:szCs w:val="18"/>
                <w:lang w:val="en-GB"/>
              </w:rPr>
              <w:t>(noon)</w:t>
            </w:r>
          </w:p>
        </w:tc>
      </w:tr>
    </w:tbl>
    <w:p w14:paraId="75B856F0" w14:textId="77777777" w:rsidR="006C1262" w:rsidRDefault="006C1262">
      <w:pPr>
        <w:rPr>
          <w:sz w:val="20"/>
          <w:szCs w:val="20"/>
          <w:lang w:val="en-GB"/>
        </w:rPr>
      </w:pPr>
    </w:p>
    <w:p w14:paraId="34F5AB08" w14:textId="01FA2DB6" w:rsidR="00F9712F" w:rsidRPr="00214EA4" w:rsidRDefault="00F9712F">
      <w:pPr>
        <w:rPr>
          <w:sz w:val="20"/>
          <w:szCs w:val="20"/>
          <w:lang w:val="en-GB"/>
        </w:rPr>
      </w:pPr>
      <w:r>
        <w:rPr>
          <w:sz w:val="20"/>
          <w:szCs w:val="20"/>
          <w:lang w:val="en-GB"/>
        </w:rPr>
        <w:t xml:space="preserve">Date of Document </w:t>
      </w:r>
      <w:r w:rsidR="00B305F2">
        <w:rPr>
          <w:sz w:val="20"/>
          <w:szCs w:val="20"/>
          <w:lang w:val="en-GB"/>
        </w:rPr>
        <w:t>–</w:t>
      </w:r>
      <w:r>
        <w:rPr>
          <w:sz w:val="20"/>
          <w:szCs w:val="20"/>
          <w:lang w:val="en-GB"/>
        </w:rPr>
        <w:t xml:space="preserve"> </w:t>
      </w:r>
      <w:r w:rsidR="006C1262">
        <w:rPr>
          <w:sz w:val="20"/>
          <w:szCs w:val="20"/>
          <w:lang w:val="en-GB"/>
        </w:rPr>
        <w:t xml:space="preserve">2 December </w:t>
      </w:r>
      <w:r>
        <w:rPr>
          <w:sz w:val="20"/>
          <w:szCs w:val="20"/>
          <w:lang w:val="en-GB"/>
        </w:rPr>
        <w:t>2020</w:t>
      </w:r>
    </w:p>
    <w:sectPr w:rsidR="00F9712F" w:rsidRPr="00214EA4" w:rsidSect="005F6717">
      <w:headerReference w:type="default" r:id="rId7"/>
      <w:footerReference w:type="default" r:id="rId8"/>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22BCF" w14:textId="77777777" w:rsidR="00EF0B7A" w:rsidRDefault="00EF0B7A" w:rsidP="005F6717">
      <w:pPr>
        <w:spacing w:after="0" w:line="240" w:lineRule="auto"/>
      </w:pPr>
      <w:r>
        <w:separator/>
      </w:r>
    </w:p>
  </w:endnote>
  <w:endnote w:type="continuationSeparator" w:id="0">
    <w:p w14:paraId="23BC209E" w14:textId="77777777" w:rsidR="00EF0B7A" w:rsidRDefault="00EF0B7A" w:rsidP="005F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71235" w14:textId="08E03579" w:rsidR="008E03BC" w:rsidRDefault="008E03BC">
    <w:pPr>
      <w:pStyle w:val="Footer"/>
    </w:pPr>
    <w:r>
      <w:rPr>
        <w:noProof/>
        <w:lang w:val="en-GB" w:eastAsia="en-GB"/>
      </w:rPr>
      <w:drawing>
        <wp:inline distT="0" distB="0" distL="0" distR="0" wp14:anchorId="1C70287E" wp14:editId="15CE32D5">
          <wp:extent cx="5943600" cy="950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DF OP 1 EN.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50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5D901" w14:textId="77777777" w:rsidR="00EF0B7A" w:rsidRDefault="00EF0B7A" w:rsidP="005F6717">
      <w:pPr>
        <w:spacing w:after="0" w:line="240" w:lineRule="auto"/>
      </w:pPr>
      <w:r>
        <w:separator/>
      </w:r>
    </w:p>
  </w:footnote>
  <w:footnote w:type="continuationSeparator" w:id="0">
    <w:p w14:paraId="69DA355F" w14:textId="77777777" w:rsidR="00EF0B7A" w:rsidRDefault="00EF0B7A" w:rsidP="005F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2143"/>
      <w:gridCol w:w="4111"/>
    </w:tblGrid>
    <w:tr w:rsidR="009846F0" w14:paraId="4DB2D68B" w14:textId="2105E557" w:rsidTr="009846F0">
      <w:tc>
        <w:tcPr>
          <w:tcW w:w="3811" w:type="dxa"/>
        </w:tcPr>
        <w:p w14:paraId="6AAD8FD9" w14:textId="28EF44DA" w:rsidR="009846F0" w:rsidRDefault="009846F0">
          <w:pPr>
            <w:pStyle w:val="Header"/>
          </w:pPr>
          <w:r>
            <w:rPr>
              <w:noProof/>
              <w:lang w:val="en-GB" w:eastAsia="en-GB"/>
            </w:rPr>
            <w:drawing>
              <wp:inline distT="0" distB="0" distL="0" distR="0" wp14:anchorId="7E3125ED" wp14:editId="294FF703">
                <wp:extent cx="1722857" cy="720000"/>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mono ENG.jpg"/>
                        <pic:cNvPicPr/>
                      </pic:nvPicPr>
                      <pic:blipFill>
                        <a:blip r:embed="rId1">
                          <a:extLst>
                            <a:ext uri="{28A0092B-C50C-407E-A947-70E740481C1C}">
                              <a14:useLocalDpi xmlns:a14="http://schemas.microsoft.com/office/drawing/2010/main" val="0"/>
                            </a:ext>
                          </a:extLst>
                        </a:blip>
                        <a:stretch>
                          <a:fillRect/>
                        </a:stretch>
                      </pic:blipFill>
                      <pic:spPr>
                        <a:xfrm>
                          <a:off x="0" y="0"/>
                          <a:ext cx="1722857" cy="720000"/>
                        </a:xfrm>
                        <a:prstGeom prst="rect">
                          <a:avLst/>
                        </a:prstGeom>
                      </pic:spPr>
                    </pic:pic>
                  </a:graphicData>
                </a:graphic>
              </wp:inline>
            </w:drawing>
          </w:r>
        </w:p>
      </w:tc>
      <w:tc>
        <w:tcPr>
          <w:tcW w:w="2143" w:type="dxa"/>
          <w:vAlign w:val="center"/>
        </w:tcPr>
        <w:p w14:paraId="1F745A24" w14:textId="17221413" w:rsidR="009846F0" w:rsidRDefault="009846F0" w:rsidP="005F6717">
          <w:pPr>
            <w:pStyle w:val="Header"/>
            <w:jc w:val="right"/>
          </w:pPr>
          <w:r>
            <w:rPr>
              <w:noProof/>
              <w:lang w:val="en-GB" w:eastAsia="en-GB"/>
            </w:rPr>
            <w:drawing>
              <wp:anchor distT="0" distB="0" distL="114300" distR="114300" simplePos="0" relativeHeight="251661312" behindDoc="0" locked="0" layoutInCell="1" allowOverlap="1" wp14:anchorId="1168D6AD" wp14:editId="413F5567">
                <wp:simplePos x="0" y="0"/>
                <wp:positionH relativeFrom="column">
                  <wp:posOffset>2068830</wp:posOffset>
                </wp:positionH>
                <wp:positionV relativeFrom="paragraph">
                  <wp:posOffset>0</wp:posOffset>
                </wp:positionV>
                <wp:extent cx="1101725" cy="720000"/>
                <wp:effectExtent l="0" t="0" r="3175" b="4445"/>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01725" cy="720000"/>
                        </a:xfrm>
                        <a:prstGeom prst="rect">
                          <a:avLst/>
                        </a:prstGeom>
                      </pic:spPr>
                    </pic:pic>
                  </a:graphicData>
                </a:graphic>
                <wp14:sizeRelH relativeFrom="margin">
                  <wp14:pctWidth>0</wp14:pctWidth>
                </wp14:sizeRelH>
                <wp14:sizeRelV relativeFrom="margin">
                  <wp14:pctHeight>0</wp14:pctHeight>
                </wp14:sizeRelV>
              </wp:anchor>
            </w:drawing>
          </w:r>
        </w:p>
      </w:tc>
      <w:tc>
        <w:tcPr>
          <w:tcW w:w="4111" w:type="dxa"/>
        </w:tcPr>
        <w:tbl>
          <w:tblPr>
            <w:tblW w:w="3863" w:type="dxa"/>
            <w:tblCellSpacing w:w="0" w:type="dxa"/>
            <w:tblCellMar>
              <w:left w:w="0" w:type="dxa"/>
              <w:right w:w="0" w:type="dxa"/>
            </w:tblCellMar>
            <w:tblLook w:val="04A0" w:firstRow="1" w:lastRow="0" w:firstColumn="1" w:lastColumn="0" w:noHBand="0" w:noVBand="1"/>
          </w:tblPr>
          <w:tblGrid>
            <w:gridCol w:w="3863"/>
          </w:tblGrid>
          <w:tr w:rsidR="009846F0" w14:paraId="031798E8" w14:textId="77777777" w:rsidTr="009846F0">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1D55E3F9" w14:textId="77777777" w:rsidR="009846F0" w:rsidRDefault="009846F0" w:rsidP="009846F0">
                <w:pPr>
                  <w:spacing w:after="240"/>
                  <w:rPr>
                    <w:rFonts w:ascii="Arial" w:hAnsi="Arial" w:cs="Arial"/>
                    <w:lang w:eastAsia="en-GB"/>
                  </w:rPr>
                </w:pPr>
                <w:r>
                  <w:rPr>
                    <w:noProof/>
                  </w:rPr>
                  <w:drawing>
                    <wp:anchor distT="0" distB="0" distL="0" distR="0" simplePos="0" relativeHeight="251663360" behindDoc="0" locked="0" layoutInCell="1" allowOverlap="0" wp14:anchorId="140BCF6E" wp14:editId="2421655C">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9846F0" w:rsidRPr="0075614B" w14:paraId="4A5CF9CB" w14:textId="77777777" w:rsidTr="009846F0">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3B51C0C4" w14:textId="77777777" w:rsidR="009846F0" w:rsidRPr="0075614B" w:rsidRDefault="009846F0" w:rsidP="009846F0">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9846F0" w14:paraId="3518D0B7" w14:textId="77777777" w:rsidTr="009846F0">
            <w:trPr>
              <w:tblCellSpacing w:w="0" w:type="dxa"/>
            </w:trPr>
            <w:tc>
              <w:tcPr>
                <w:tcW w:w="5000" w:type="pct"/>
                <w:vAlign w:val="center"/>
                <w:hideMark/>
              </w:tcPr>
              <w:p w14:paraId="6BE7C260" w14:textId="77777777" w:rsidR="009846F0" w:rsidRDefault="009846F0" w:rsidP="009846F0">
                <w:pPr>
                  <w:rPr>
                    <w:sz w:val="20"/>
                    <w:szCs w:val="20"/>
                    <w:lang w:eastAsia="en-GB"/>
                  </w:rPr>
                </w:pPr>
              </w:p>
            </w:tc>
          </w:tr>
        </w:tbl>
        <w:p w14:paraId="7A3C0B9A" w14:textId="77777777" w:rsidR="009846F0" w:rsidRPr="009846F0" w:rsidRDefault="009846F0" w:rsidP="005F6717">
          <w:pPr>
            <w:pStyle w:val="Header"/>
            <w:jc w:val="right"/>
            <w:rPr>
              <w:noProof/>
              <w:lang w:eastAsia="en-GB"/>
            </w:rPr>
          </w:pPr>
        </w:p>
      </w:tc>
    </w:tr>
  </w:tbl>
  <w:p w14:paraId="4928CD81" w14:textId="77777777" w:rsidR="005F6717" w:rsidRDefault="005F6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C41CC"/>
    <w:multiLevelType w:val="multilevel"/>
    <w:tmpl w:val="D8A00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7F"/>
    <w:rsid w:val="00164D0B"/>
    <w:rsid w:val="001A7E23"/>
    <w:rsid w:val="001B6353"/>
    <w:rsid w:val="001D386F"/>
    <w:rsid w:val="00214EA4"/>
    <w:rsid w:val="002E6913"/>
    <w:rsid w:val="003064B7"/>
    <w:rsid w:val="00330D6C"/>
    <w:rsid w:val="003C2FF1"/>
    <w:rsid w:val="00406F02"/>
    <w:rsid w:val="00436B14"/>
    <w:rsid w:val="00452328"/>
    <w:rsid w:val="004A1D36"/>
    <w:rsid w:val="004B3758"/>
    <w:rsid w:val="00503EEA"/>
    <w:rsid w:val="005436A6"/>
    <w:rsid w:val="005750ED"/>
    <w:rsid w:val="00583767"/>
    <w:rsid w:val="00590341"/>
    <w:rsid w:val="005F6717"/>
    <w:rsid w:val="006A3C15"/>
    <w:rsid w:val="006C00CA"/>
    <w:rsid w:val="006C1262"/>
    <w:rsid w:val="0070327B"/>
    <w:rsid w:val="0071027F"/>
    <w:rsid w:val="007500B5"/>
    <w:rsid w:val="00783667"/>
    <w:rsid w:val="007D7DFB"/>
    <w:rsid w:val="007F3F74"/>
    <w:rsid w:val="008131D2"/>
    <w:rsid w:val="00861BD9"/>
    <w:rsid w:val="00897B1A"/>
    <w:rsid w:val="008E03BC"/>
    <w:rsid w:val="009846F0"/>
    <w:rsid w:val="009F575F"/>
    <w:rsid w:val="009F67B4"/>
    <w:rsid w:val="00A446D2"/>
    <w:rsid w:val="00A47834"/>
    <w:rsid w:val="00AC220E"/>
    <w:rsid w:val="00B02185"/>
    <w:rsid w:val="00B305F2"/>
    <w:rsid w:val="00B63A1B"/>
    <w:rsid w:val="00BC67EE"/>
    <w:rsid w:val="00BE2F8D"/>
    <w:rsid w:val="00BF28DF"/>
    <w:rsid w:val="00C2578E"/>
    <w:rsid w:val="00C30F7E"/>
    <w:rsid w:val="00CC04C1"/>
    <w:rsid w:val="00CC7275"/>
    <w:rsid w:val="00CD4ECD"/>
    <w:rsid w:val="00D42A2F"/>
    <w:rsid w:val="00DD7895"/>
    <w:rsid w:val="00E2212C"/>
    <w:rsid w:val="00E3370F"/>
    <w:rsid w:val="00E35BDB"/>
    <w:rsid w:val="00E57D08"/>
    <w:rsid w:val="00EB7836"/>
    <w:rsid w:val="00EE4F77"/>
    <w:rsid w:val="00EF0B7A"/>
    <w:rsid w:val="00F22537"/>
    <w:rsid w:val="00F52A6B"/>
    <w:rsid w:val="00F571C4"/>
    <w:rsid w:val="00F87124"/>
    <w:rsid w:val="00F942DE"/>
    <w:rsid w:val="00F9712F"/>
    <w:rsid w:val="00FB3A0A"/>
    <w:rsid w:val="00FD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CFFDA"/>
  <w15:chartTrackingRefBased/>
  <w15:docId w15:val="{1003FDFD-957D-407D-9E38-7017D744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F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1027F"/>
    <w:rPr>
      <w:rFonts w:ascii="Trebuchet MS" w:hAnsi="Trebuchet MS"/>
      <w:color w:val="0000FF"/>
      <w:sz w:val="20"/>
      <w:u w:val="single"/>
    </w:rPr>
  </w:style>
  <w:style w:type="paragraph" w:customStyle="1" w:styleId="Default">
    <w:name w:val="Default"/>
    <w:rsid w:val="00BC67EE"/>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5F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717"/>
    <w:rPr>
      <w:lang w:val="en-US"/>
    </w:rPr>
  </w:style>
  <w:style w:type="paragraph" w:styleId="Footer">
    <w:name w:val="footer"/>
    <w:basedOn w:val="Normal"/>
    <w:link w:val="FooterChar"/>
    <w:uiPriority w:val="99"/>
    <w:unhideWhenUsed/>
    <w:rsid w:val="005F6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717"/>
    <w:rPr>
      <w:lang w:val="en-US"/>
    </w:rPr>
  </w:style>
  <w:style w:type="paragraph" w:styleId="BalloonText">
    <w:name w:val="Balloon Text"/>
    <w:basedOn w:val="Normal"/>
    <w:link w:val="BalloonTextChar"/>
    <w:uiPriority w:val="99"/>
    <w:semiHidden/>
    <w:unhideWhenUsed/>
    <w:rsid w:val="00AC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20E"/>
    <w:rPr>
      <w:rFonts w:ascii="Segoe UI" w:hAnsi="Segoe UI" w:cs="Segoe UI"/>
      <w:sz w:val="18"/>
      <w:szCs w:val="18"/>
      <w:lang w:val="en-US"/>
    </w:rPr>
  </w:style>
  <w:style w:type="character" w:styleId="CommentReference">
    <w:name w:val="annotation reference"/>
    <w:basedOn w:val="DefaultParagraphFont"/>
    <w:uiPriority w:val="99"/>
    <w:semiHidden/>
    <w:unhideWhenUsed/>
    <w:rsid w:val="00F87124"/>
    <w:rPr>
      <w:sz w:val="16"/>
      <w:szCs w:val="16"/>
    </w:rPr>
  </w:style>
  <w:style w:type="paragraph" w:styleId="CommentText">
    <w:name w:val="annotation text"/>
    <w:basedOn w:val="Normal"/>
    <w:link w:val="CommentTextChar"/>
    <w:uiPriority w:val="99"/>
    <w:semiHidden/>
    <w:unhideWhenUsed/>
    <w:rsid w:val="00F87124"/>
    <w:pPr>
      <w:spacing w:line="240" w:lineRule="auto"/>
    </w:pPr>
    <w:rPr>
      <w:sz w:val="20"/>
      <w:szCs w:val="20"/>
    </w:rPr>
  </w:style>
  <w:style w:type="character" w:customStyle="1" w:styleId="CommentTextChar">
    <w:name w:val="Comment Text Char"/>
    <w:basedOn w:val="DefaultParagraphFont"/>
    <w:link w:val="CommentText"/>
    <w:uiPriority w:val="99"/>
    <w:semiHidden/>
    <w:rsid w:val="00F87124"/>
    <w:rPr>
      <w:sz w:val="20"/>
      <w:szCs w:val="20"/>
      <w:lang w:val="en-US"/>
    </w:rPr>
  </w:style>
  <w:style w:type="paragraph" w:styleId="CommentSubject">
    <w:name w:val="annotation subject"/>
    <w:basedOn w:val="CommentText"/>
    <w:next w:val="CommentText"/>
    <w:link w:val="CommentSubjectChar"/>
    <w:uiPriority w:val="99"/>
    <w:semiHidden/>
    <w:unhideWhenUsed/>
    <w:rsid w:val="00F87124"/>
    <w:rPr>
      <w:b/>
      <w:bCs/>
    </w:rPr>
  </w:style>
  <w:style w:type="character" w:customStyle="1" w:styleId="CommentSubjectChar">
    <w:name w:val="Comment Subject Char"/>
    <w:basedOn w:val="CommentTextChar"/>
    <w:link w:val="CommentSubject"/>
    <w:uiPriority w:val="99"/>
    <w:semiHidden/>
    <w:rsid w:val="00F87124"/>
    <w:rPr>
      <w:b/>
      <w:bCs/>
      <w:sz w:val="20"/>
      <w:szCs w:val="20"/>
      <w:lang w:val="en-US"/>
    </w:rPr>
  </w:style>
  <w:style w:type="paragraph" w:customStyle="1" w:styleId="xmsonormal">
    <w:name w:val="x_msonormal"/>
    <w:basedOn w:val="Normal"/>
    <w:rsid w:val="006C00CA"/>
    <w:pPr>
      <w:spacing w:after="0"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45587">
      <w:bodyDiv w:val="1"/>
      <w:marLeft w:val="0"/>
      <w:marRight w:val="0"/>
      <w:marTop w:val="0"/>
      <w:marBottom w:val="0"/>
      <w:divBdr>
        <w:top w:val="none" w:sz="0" w:space="0" w:color="auto"/>
        <w:left w:val="none" w:sz="0" w:space="0" w:color="auto"/>
        <w:bottom w:val="none" w:sz="0" w:space="0" w:color="auto"/>
        <w:right w:val="none" w:sz="0" w:space="0" w:color="auto"/>
      </w:divBdr>
    </w:div>
    <w:div w:id="84347687">
      <w:bodyDiv w:val="1"/>
      <w:marLeft w:val="0"/>
      <w:marRight w:val="0"/>
      <w:marTop w:val="0"/>
      <w:marBottom w:val="0"/>
      <w:divBdr>
        <w:top w:val="none" w:sz="0" w:space="0" w:color="auto"/>
        <w:left w:val="none" w:sz="0" w:space="0" w:color="auto"/>
        <w:bottom w:val="none" w:sz="0" w:space="0" w:color="auto"/>
        <w:right w:val="none" w:sz="0" w:space="0" w:color="auto"/>
      </w:divBdr>
    </w:div>
    <w:div w:id="155342826">
      <w:bodyDiv w:val="1"/>
      <w:marLeft w:val="0"/>
      <w:marRight w:val="0"/>
      <w:marTop w:val="0"/>
      <w:marBottom w:val="0"/>
      <w:divBdr>
        <w:top w:val="none" w:sz="0" w:space="0" w:color="auto"/>
        <w:left w:val="none" w:sz="0" w:space="0" w:color="auto"/>
        <w:bottom w:val="none" w:sz="0" w:space="0" w:color="auto"/>
        <w:right w:val="none" w:sz="0" w:space="0" w:color="auto"/>
      </w:divBdr>
    </w:div>
    <w:div w:id="163130804">
      <w:bodyDiv w:val="1"/>
      <w:marLeft w:val="0"/>
      <w:marRight w:val="0"/>
      <w:marTop w:val="0"/>
      <w:marBottom w:val="0"/>
      <w:divBdr>
        <w:top w:val="none" w:sz="0" w:space="0" w:color="auto"/>
        <w:left w:val="none" w:sz="0" w:space="0" w:color="auto"/>
        <w:bottom w:val="none" w:sz="0" w:space="0" w:color="auto"/>
        <w:right w:val="none" w:sz="0" w:space="0" w:color="auto"/>
      </w:divBdr>
    </w:div>
    <w:div w:id="292103844">
      <w:bodyDiv w:val="1"/>
      <w:marLeft w:val="0"/>
      <w:marRight w:val="0"/>
      <w:marTop w:val="0"/>
      <w:marBottom w:val="0"/>
      <w:divBdr>
        <w:top w:val="none" w:sz="0" w:space="0" w:color="auto"/>
        <w:left w:val="none" w:sz="0" w:space="0" w:color="auto"/>
        <w:bottom w:val="none" w:sz="0" w:space="0" w:color="auto"/>
        <w:right w:val="none" w:sz="0" w:space="0" w:color="auto"/>
      </w:divBdr>
    </w:div>
    <w:div w:id="318273641">
      <w:bodyDiv w:val="1"/>
      <w:marLeft w:val="0"/>
      <w:marRight w:val="0"/>
      <w:marTop w:val="0"/>
      <w:marBottom w:val="0"/>
      <w:divBdr>
        <w:top w:val="none" w:sz="0" w:space="0" w:color="auto"/>
        <w:left w:val="none" w:sz="0" w:space="0" w:color="auto"/>
        <w:bottom w:val="none" w:sz="0" w:space="0" w:color="auto"/>
        <w:right w:val="none" w:sz="0" w:space="0" w:color="auto"/>
      </w:divBdr>
    </w:div>
    <w:div w:id="367223134">
      <w:bodyDiv w:val="1"/>
      <w:marLeft w:val="0"/>
      <w:marRight w:val="0"/>
      <w:marTop w:val="0"/>
      <w:marBottom w:val="0"/>
      <w:divBdr>
        <w:top w:val="none" w:sz="0" w:space="0" w:color="auto"/>
        <w:left w:val="none" w:sz="0" w:space="0" w:color="auto"/>
        <w:bottom w:val="none" w:sz="0" w:space="0" w:color="auto"/>
        <w:right w:val="none" w:sz="0" w:space="0" w:color="auto"/>
      </w:divBdr>
    </w:div>
    <w:div w:id="428887834">
      <w:bodyDiv w:val="1"/>
      <w:marLeft w:val="0"/>
      <w:marRight w:val="0"/>
      <w:marTop w:val="0"/>
      <w:marBottom w:val="0"/>
      <w:divBdr>
        <w:top w:val="none" w:sz="0" w:space="0" w:color="auto"/>
        <w:left w:val="none" w:sz="0" w:space="0" w:color="auto"/>
        <w:bottom w:val="none" w:sz="0" w:space="0" w:color="auto"/>
        <w:right w:val="none" w:sz="0" w:space="0" w:color="auto"/>
      </w:divBdr>
    </w:div>
    <w:div w:id="549071892">
      <w:bodyDiv w:val="1"/>
      <w:marLeft w:val="0"/>
      <w:marRight w:val="0"/>
      <w:marTop w:val="0"/>
      <w:marBottom w:val="0"/>
      <w:divBdr>
        <w:top w:val="none" w:sz="0" w:space="0" w:color="auto"/>
        <w:left w:val="none" w:sz="0" w:space="0" w:color="auto"/>
        <w:bottom w:val="none" w:sz="0" w:space="0" w:color="auto"/>
        <w:right w:val="none" w:sz="0" w:space="0" w:color="auto"/>
      </w:divBdr>
    </w:div>
    <w:div w:id="580137050">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
    <w:div w:id="835921234">
      <w:bodyDiv w:val="1"/>
      <w:marLeft w:val="0"/>
      <w:marRight w:val="0"/>
      <w:marTop w:val="0"/>
      <w:marBottom w:val="0"/>
      <w:divBdr>
        <w:top w:val="none" w:sz="0" w:space="0" w:color="auto"/>
        <w:left w:val="none" w:sz="0" w:space="0" w:color="auto"/>
        <w:bottom w:val="none" w:sz="0" w:space="0" w:color="auto"/>
        <w:right w:val="none" w:sz="0" w:space="0" w:color="auto"/>
      </w:divBdr>
    </w:div>
    <w:div w:id="848980989">
      <w:bodyDiv w:val="1"/>
      <w:marLeft w:val="0"/>
      <w:marRight w:val="0"/>
      <w:marTop w:val="0"/>
      <w:marBottom w:val="0"/>
      <w:divBdr>
        <w:top w:val="none" w:sz="0" w:space="0" w:color="auto"/>
        <w:left w:val="none" w:sz="0" w:space="0" w:color="auto"/>
        <w:bottom w:val="none" w:sz="0" w:space="0" w:color="auto"/>
        <w:right w:val="none" w:sz="0" w:space="0" w:color="auto"/>
      </w:divBdr>
    </w:div>
    <w:div w:id="851533789">
      <w:bodyDiv w:val="1"/>
      <w:marLeft w:val="0"/>
      <w:marRight w:val="0"/>
      <w:marTop w:val="0"/>
      <w:marBottom w:val="0"/>
      <w:divBdr>
        <w:top w:val="none" w:sz="0" w:space="0" w:color="auto"/>
        <w:left w:val="none" w:sz="0" w:space="0" w:color="auto"/>
        <w:bottom w:val="none" w:sz="0" w:space="0" w:color="auto"/>
        <w:right w:val="none" w:sz="0" w:space="0" w:color="auto"/>
      </w:divBdr>
    </w:div>
    <w:div w:id="881214427">
      <w:bodyDiv w:val="1"/>
      <w:marLeft w:val="0"/>
      <w:marRight w:val="0"/>
      <w:marTop w:val="0"/>
      <w:marBottom w:val="0"/>
      <w:divBdr>
        <w:top w:val="none" w:sz="0" w:space="0" w:color="auto"/>
        <w:left w:val="none" w:sz="0" w:space="0" w:color="auto"/>
        <w:bottom w:val="none" w:sz="0" w:space="0" w:color="auto"/>
        <w:right w:val="none" w:sz="0" w:space="0" w:color="auto"/>
      </w:divBdr>
    </w:div>
    <w:div w:id="889268165">
      <w:bodyDiv w:val="1"/>
      <w:marLeft w:val="0"/>
      <w:marRight w:val="0"/>
      <w:marTop w:val="0"/>
      <w:marBottom w:val="0"/>
      <w:divBdr>
        <w:top w:val="none" w:sz="0" w:space="0" w:color="auto"/>
        <w:left w:val="none" w:sz="0" w:space="0" w:color="auto"/>
        <w:bottom w:val="none" w:sz="0" w:space="0" w:color="auto"/>
        <w:right w:val="none" w:sz="0" w:space="0" w:color="auto"/>
      </w:divBdr>
    </w:div>
    <w:div w:id="1112944279">
      <w:bodyDiv w:val="1"/>
      <w:marLeft w:val="0"/>
      <w:marRight w:val="0"/>
      <w:marTop w:val="0"/>
      <w:marBottom w:val="0"/>
      <w:divBdr>
        <w:top w:val="none" w:sz="0" w:space="0" w:color="auto"/>
        <w:left w:val="none" w:sz="0" w:space="0" w:color="auto"/>
        <w:bottom w:val="none" w:sz="0" w:space="0" w:color="auto"/>
        <w:right w:val="none" w:sz="0" w:space="0" w:color="auto"/>
      </w:divBdr>
    </w:div>
    <w:div w:id="1312833317">
      <w:bodyDiv w:val="1"/>
      <w:marLeft w:val="0"/>
      <w:marRight w:val="0"/>
      <w:marTop w:val="0"/>
      <w:marBottom w:val="0"/>
      <w:divBdr>
        <w:top w:val="none" w:sz="0" w:space="0" w:color="auto"/>
        <w:left w:val="none" w:sz="0" w:space="0" w:color="auto"/>
        <w:bottom w:val="none" w:sz="0" w:space="0" w:color="auto"/>
        <w:right w:val="none" w:sz="0" w:space="0" w:color="auto"/>
      </w:divBdr>
    </w:div>
    <w:div w:id="1341274502">
      <w:bodyDiv w:val="1"/>
      <w:marLeft w:val="0"/>
      <w:marRight w:val="0"/>
      <w:marTop w:val="0"/>
      <w:marBottom w:val="0"/>
      <w:divBdr>
        <w:top w:val="none" w:sz="0" w:space="0" w:color="auto"/>
        <w:left w:val="none" w:sz="0" w:space="0" w:color="auto"/>
        <w:bottom w:val="none" w:sz="0" w:space="0" w:color="auto"/>
        <w:right w:val="none" w:sz="0" w:space="0" w:color="auto"/>
      </w:divBdr>
    </w:div>
    <w:div w:id="1725252608">
      <w:bodyDiv w:val="1"/>
      <w:marLeft w:val="0"/>
      <w:marRight w:val="0"/>
      <w:marTop w:val="0"/>
      <w:marBottom w:val="0"/>
      <w:divBdr>
        <w:top w:val="none" w:sz="0" w:space="0" w:color="auto"/>
        <w:left w:val="none" w:sz="0" w:space="0" w:color="auto"/>
        <w:bottom w:val="none" w:sz="0" w:space="0" w:color="auto"/>
        <w:right w:val="none" w:sz="0" w:space="0" w:color="auto"/>
      </w:divBdr>
    </w:div>
    <w:div w:id="1734811110">
      <w:bodyDiv w:val="1"/>
      <w:marLeft w:val="0"/>
      <w:marRight w:val="0"/>
      <w:marTop w:val="0"/>
      <w:marBottom w:val="0"/>
      <w:divBdr>
        <w:top w:val="none" w:sz="0" w:space="0" w:color="auto"/>
        <w:left w:val="none" w:sz="0" w:space="0" w:color="auto"/>
        <w:bottom w:val="none" w:sz="0" w:space="0" w:color="auto"/>
        <w:right w:val="none" w:sz="0" w:space="0" w:color="auto"/>
      </w:divBdr>
    </w:div>
    <w:div w:id="1786922168">
      <w:bodyDiv w:val="1"/>
      <w:marLeft w:val="0"/>
      <w:marRight w:val="0"/>
      <w:marTop w:val="0"/>
      <w:marBottom w:val="0"/>
      <w:divBdr>
        <w:top w:val="none" w:sz="0" w:space="0" w:color="auto"/>
        <w:left w:val="none" w:sz="0" w:space="0" w:color="auto"/>
        <w:bottom w:val="none" w:sz="0" w:space="0" w:color="auto"/>
        <w:right w:val="none" w:sz="0" w:space="0" w:color="auto"/>
      </w:divBdr>
    </w:div>
    <w:div w:id="1819229976">
      <w:bodyDiv w:val="1"/>
      <w:marLeft w:val="0"/>
      <w:marRight w:val="0"/>
      <w:marTop w:val="0"/>
      <w:marBottom w:val="0"/>
      <w:divBdr>
        <w:top w:val="none" w:sz="0" w:space="0" w:color="auto"/>
        <w:left w:val="none" w:sz="0" w:space="0" w:color="auto"/>
        <w:bottom w:val="none" w:sz="0" w:space="0" w:color="auto"/>
        <w:right w:val="none" w:sz="0" w:space="0" w:color="auto"/>
      </w:divBdr>
    </w:div>
    <w:div w:id="1903175622">
      <w:bodyDiv w:val="1"/>
      <w:marLeft w:val="0"/>
      <w:marRight w:val="0"/>
      <w:marTop w:val="0"/>
      <w:marBottom w:val="0"/>
      <w:divBdr>
        <w:top w:val="none" w:sz="0" w:space="0" w:color="auto"/>
        <w:left w:val="none" w:sz="0" w:space="0" w:color="auto"/>
        <w:bottom w:val="none" w:sz="0" w:space="0" w:color="auto"/>
        <w:right w:val="none" w:sz="0" w:space="0" w:color="auto"/>
      </w:divBdr>
    </w:div>
    <w:div w:id="20482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 Cachia</cp:lastModifiedBy>
  <cp:revision>6</cp:revision>
  <cp:lastPrinted>2019-07-09T07:31:00Z</cp:lastPrinted>
  <dcterms:created xsi:type="dcterms:W3CDTF">2020-12-02T13:28:00Z</dcterms:created>
  <dcterms:modified xsi:type="dcterms:W3CDTF">2020-12-09T20:25:00Z</dcterms:modified>
</cp:coreProperties>
</file>