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D9893" w14:textId="55E14698" w:rsidR="002E6913" w:rsidRPr="00214EA4" w:rsidRDefault="00B02185" w:rsidP="00BC67EE">
      <w:pPr>
        <w:rPr>
          <w:b/>
          <w:sz w:val="20"/>
          <w:szCs w:val="20"/>
          <w:lang w:val="en-GB"/>
        </w:rPr>
      </w:pPr>
      <w:r>
        <w:rPr>
          <w:b/>
          <w:sz w:val="20"/>
          <w:szCs w:val="20"/>
          <w:lang w:val="en-GB"/>
        </w:rPr>
        <w:t>Clarifications</w:t>
      </w:r>
    </w:p>
    <w:tbl>
      <w:tblPr>
        <w:tblStyle w:val="TableGrid"/>
        <w:tblW w:w="0" w:type="auto"/>
        <w:tblLook w:val="04A0" w:firstRow="1" w:lastRow="0" w:firstColumn="1" w:lastColumn="0" w:noHBand="0" w:noVBand="1"/>
      </w:tblPr>
      <w:tblGrid>
        <w:gridCol w:w="1207"/>
        <w:gridCol w:w="8825"/>
      </w:tblGrid>
      <w:tr w:rsidR="00214EA4" w:rsidRPr="00214EA4" w14:paraId="150B47EB" w14:textId="77777777" w:rsidTr="009F575F">
        <w:trPr>
          <w:cantSplit/>
          <w:trHeight w:val="454"/>
        </w:trPr>
        <w:tc>
          <w:tcPr>
            <w:tcW w:w="1207" w:type="dxa"/>
            <w:tcBorders>
              <w:bottom w:val="single" w:sz="4" w:space="0" w:color="auto"/>
            </w:tcBorders>
            <w:vAlign w:val="center"/>
          </w:tcPr>
          <w:p w14:paraId="0B23CA3E" w14:textId="437EF677" w:rsidR="008E03BC" w:rsidRPr="00214EA4" w:rsidRDefault="008E03BC" w:rsidP="008E03BC">
            <w:pPr>
              <w:spacing w:before="120" w:after="120"/>
              <w:rPr>
                <w:sz w:val="20"/>
                <w:szCs w:val="20"/>
                <w:lang w:val="en-GB"/>
              </w:rPr>
            </w:pPr>
            <w:r w:rsidRPr="00214EA4">
              <w:rPr>
                <w:sz w:val="20"/>
                <w:szCs w:val="20"/>
                <w:lang w:val="en-GB"/>
              </w:rPr>
              <w:t>Tender:</w:t>
            </w:r>
          </w:p>
        </w:tc>
        <w:tc>
          <w:tcPr>
            <w:tcW w:w="8825" w:type="dxa"/>
            <w:tcBorders>
              <w:bottom w:val="single" w:sz="4" w:space="0" w:color="auto"/>
            </w:tcBorders>
            <w:vAlign w:val="center"/>
          </w:tcPr>
          <w:p w14:paraId="2306FE32" w14:textId="77777777" w:rsidR="004B3758" w:rsidRDefault="004B3758" w:rsidP="004B3758">
            <w:pPr>
              <w:spacing w:before="120" w:after="120"/>
              <w:rPr>
                <w:sz w:val="20"/>
                <w:szCs w:val="20"/>
                <w:lang w:val="en-GB"/>
              </w:rPr>
            </w:pPr>
            <w:r w:rsidRPr="004B3758">
              <w:rPr>
                <w:sz w:val="20"/>
                <w:szCs w:val="20"/>
                <w:lang w:val="en-GB"/>
              </w:rPr>
              <w:t>ERDF.05.0121 – Tender 015</w:t>
            </w:r>
            <w:r>
              <w:rPr>
                <w:sz w:val="20"/>
                <w:szCs w:val="20"/>
                <w:lang w:val="en-GB"/>
              </w:rPr>
              <w:t xml:space="preserve">: </w:t>
            </w:r>
          </w:p>
          <w:p w14:paraId="7712531C" w14:textId="5E5298AF" w:rsidR="008E03BC" w:rsidRPr="00214EA4" w:rsidRDefault="004B3758" w:rsidP="004B3758">
            <w:pPr>
              <w:spacing w:before="120" w:after="120"/>
              <w:rPr>
                <w:sz w:val="20"/>
                <w:szCs w:val="20"/>
                <w:lang w:val="en-GB"/>
              </w:rPr>
            </w:pPr>
            <w:r w:rsidRPr="004B3758">
              <w:rPr>
                <w:sz w:val="20"/>
                <w:szCs w:val="20"/>
                <w:lang w:val="en-GB"/>
              </w:rPr>
              <w:t xml:space="preserve">Tender for the manufacture, </w:t>
            </w:r>
            <w:proofErr w:type="gramStart"/>
            <w:r w:rsidRPr="004B3758">
              <w:rPr>
                <w:sz w:val="20"/>
                <w:szCs w:val="20"/>
                <w:lang w:val="en-GB"/>
              </w:rPr>
              <w:t>supply</w:t>
            </w:r>
            <w:proofErr w:type="gramEnd"/>
            <w:r w:rsidRPr="004B3758">
              <w:rPr>
                <w:sz w:val="20"/>
                <w:szCs w:val="20"/>
                <w:lang w:val="en-GB"/>
              </w:rPr>
              <w:t xml:space="preserve"> and installation of a Platform Lift as part of ERDF Project ERDF.05.121 – Wildlife Rehabilitation Centre</w:t>
            </w:r>
          </w:p>
        </w:tc>
      </w:tr>
      <w:tr w:rsidR="00214EA4" w:rsidRPr="00214EA4" w14:paraId="61356EBD" w14:textId="77777777" w:rsidTr="009F575F">
        <w:trPr>
          <w:cantSplit/>
          <w:trHeight w:val="604"/>
        </w:trPr>
        <w:tc>
          <w:tcPr>
            <w:tcW w:w="1207" w:type="dxa"/>
            <w:tcBorders>
              <w:top w:val="single" w:sz="4" w:space="0" w:color="auto"/>
              <w:left w:val="nil"/>
              <w:bottom w:val="single" w:sz="4" w:space="0" w:color="auto"/>
              <w:right w:val="nil"/>
            </w:tcBorders>
          </w:tcPr>
          <w:p w14:paraId="39C84152" w14:textId="77777777" w:rsidR="008E03BC" w:rsidRPr="00214EA4" w:rsidRDefault="008E03BC" w:rsidP="008E03BC">
            <w:pPr>
              <w:spacing w:before="120" w:after="120"/>
              <w:rPr>
                <w:sz w:val="20"/>
                <w:szCs w:val="20"/>
                <w:lang w:val="en-GB"/>
              </w:rPr>
            </w:pPr>
          </w:p>
        </w:tc>
        <w:tc>
          <w:tcPr>
            <w:tcW w:w="8825" w:type="dxa"/>
            <w:tcBorders>
              <w:top w:val="single" w:sz="4" w:space="0" w:color="auto"/>
              <w:left w:val="nil"/>
              <w:bottom w:val="single" w:sz="4" w:space="0" w:color="auto"/>
              <w:right w:val="nil"/>
            </w:tcBorders>
          </w:tcPr>
          <w:p w14:paraId="527EB011" w14:textId="3E5E1281" w:rsidR="00E2212C" w:rsidRPr="00E2212C" w:rsidRDefault="00E2212C" w:rsidP="00E2212C">
            <w:pPr>
              <w:tabs>
                <w:tab w:val="left" w:pos="5975"/>
              </w:tabs>
              <w:rPr>
                <w:sz w:val="20"/>
                <w:szCs w:val="20"/>
                <w:lang w:val="en-GB"/>
              </w:rPr>
            </w:pPr>
          </w:p>
        </w:tc>
      </w:tr>
      <w:tr w:rsidR="00B02185" w:rsidRPr="00214EA4" w14:paraId="74C3E460" w14:textId="77777777" w:rsidTr="009F575F">
        <w:trPr>
          <w:cantSplit/>
          <w:trHeight w:val="604"/>
        </w:trPr>
        <w:tc>
          <w:tcPr>
            <w:tcW w:w="1207" w:type="dxa"/>
            <w:tcBorders>
              <w:top w:val="single" w:sz="4" w:space="0" w:color="auto"/>
            </w:tcBorders>
            <w:shd w:val="clear" w:color="auto" w:fill="BFBFBF" w:themeFill="background1" w:themeFillShade="BF"/>
            <w:vAlign w:val="center"/>
          </w:tcPr>
          <w:p w14:paraId="1D578D4E" w14:textId="2FFF68F5" w:rsidR="00B02185" w:rsidRPr="00214EA4" w:rsidRDefault="00B02185" w:rsidP="00B02185">
            <w:pPr>
              <w:spacing w:before="120" w:after="120"/>
              <w:rPr>
                <w:sz w:val="20"/>
                <w:szCs w:val="20"/>
                <w:lang w:val="en-GB"/>
              </w:rPr>
            </w:pPr>
            <w:r>
              <w:rPr>
                <w:sz w:val="20"/>
                <w:szCs w:val="20"/>
                <w:lang w:val="en-GB"/>
              </w:rPr>
              <w:t>No</w:t>
            </w:r>
          </w:p>
        </w:tc>
        <w:tc>
          <w:tcPr>
            <w:tcW w:w="8825" w:type="dxa"/>
            <w:tcBorders>
              <w:top w:val="single" w:sz="4" w:space="0" w:color="auto"/>
            </w:tcBorders>
            <w:shd w:val="clear" w:color="auto" w:fill="BFBFBF" w:themeFill="background1" w:themeFillShade="BF"/>
            <w:vAlign w:val="center"/>
          </w:tcPr>
          <w:p w14:paraId="42D4B22B" w14:textId="6984CD00" w:rsidR="00B02185" w:rsidRPr="00E2212C" w:rsidRDefault="00B02185" w:rsidP="00B02185">
            <w:pPr>
              <w:spacing w:before="120" w:after="120"/>
              <w:rPr>
                <w:sz w:val="20"/>
                <w:szCs w:val="20"/>
                <w:lang w:val="en-GB"/>
              </w:rPr>
            </w:pPr>
            <w:r>
              <w:rPr>
                <w:sz w:val="20"/>
                <w:szCs w:val="20"/>
                <w:lang w:val="en-GB"/>
              </w:rPr>
              <w:t>Clarification</w:t>
            </w:r>
          </w:p>
        </w:tc>
      </w:tr>
      <w:tr w:rsidR="00B02185" w:rsidRPr="00214EA4" w14:paraId="1E4CCB26" w14:textId="77777777" w:rsidTr="009F575F">
        <w:trPr>
          <w:cantSplit/>
          <w:trHeight w:val="1092"/>
        </w:trPr>
        <w:tc>
          <w:tcPr>
            <w:tcW w:w="1207" w:type="dxa"/>
            <w:vMerge w:val="restart"/>
          </w:tcPr>
          <w:p w14:paraId="7B8608D8" w14:textId="4182AD2D" w:rsidR="00B02185" w:rsidRPr="00214EA4" w:rsidRDefault="00B02185" w:rsidP="008E03BC">
            <w:pPr>
              <w:spacing w:before="120" w:after="120"/>
              <w:rPr>
                <w:sz w:val="20"/>
                <w:szCs w:val="20"/>
                <w:lang w:val="en-GB"/>
              </w:rPr>
            </w:pPr>
            <w:r>
              <w:rPr>
                <w:sz w:val="20"/>
                <w:szCs w:val="20"/>
                <w:lang w:val="en-GB"/>
              </w:rPr>
              <w:t>Q 1</w:t>
            </w:r>
          </w:p>
        </w:tc>
        <w:tc>
          <w:tcPr>
            <w:tcW w:w="8825" w:type="dxa"/>
          </w:tcPr>
          <w:p w14:paraId="4001C7ED" w14:textId="3A027523" w:rsidR="00B02185" w:rsidRPr="00B02185" w:rsidRDefault="00B02185" w:rsidP="00E2212C">
            <w:pPr>
              <w:tabs>
                <w:tab w:val="left" w:pos="5975"/>
              </w:tabs>
              <w:rPr>
                <w:b/>
                <w:bCs/>
                <w:sz w:val="20"/>
                <w:szCs w:val="20"/>
                <w:lang w:val="en-GB"/>
              </w:rPr>
            </w:pPr>
            <w:r w:rsidRPr="00B02185">
              <w:rPr>
                <w:b/>
                <w:bCs/>
                <w:sz w:val="20"/>
                <w:szCs w:val="20"/>
                <w:lang w:val="en-GB"/>
              </w:rPr>
              <w:t>Query</w:t>
            </w:r>
          </w:p>
          <w:p w14:paraId="600E43D2" w14:textId="7BDC346A" w:rsidR="00B02185" w:rsidRPr="00503EEA" w:rsidRDefault="004B3758" w:rsidP="00503EEA">
            <w:pPr>
              <w:rPr>
                <w:lang w:val="en-GB"/>
              </w:rPr>
            </w:pPr>
            <w:r w:rsidRPr="004B3758">
              <w:t>Referring to section 1.1.1, the safety test certifications mentioned are intended for the vertical enclosed passenger lift and not for the non-enclosed wheelchair platform lift in question. Therefore, the correct safety standard for the latter type of platform lifts should be the BS6440-2011 (very similar to the EN81-41) and 2006/42/CE.</w:t>
            </w:r>
          </w:p>
        </w:tc>
      </w:tr>
      <w:tr w:rsidR="00B02185" w:rsidRPr="00214EA4" w14:paraId="6C0967E3" w14:textId="77777777" w:rsidTr="009F575F">
        <w:trPr>
          <w:cantSplit/>
          <w:trHeight w:val="1091"/>
        </w:trPr>
        <w:tc>
          <w:tcPr>
            <w:tcW w:w="1207" w:type="dxa"/>
            <w:vMerge/>
          </w:tcPr>
          <w:p w14:paraId="30E7F98C" w14:textId="77777777" w:rsidR="00B02185" w:rsidRDefault="00B02185" w:rsidP="008E03BC">
            <w:pPr>
              <w:spacing w:before="120" w:after="120"/>
              <w:rPr>
                <w:sz w:val="20"/>
                <w:szCs w:val="20"/>
                <w:lang w:val="en-GB"/>
              </w:rPr>
            </w:pPr>
          </w:p>
        </w:tc>
        <w:tc>
          <w:tcPr>
            <w:tcW w:w="8825" w:type="dxa"/>
          </w:tcPr>
          <w:p w14:paraId="48B60132" w14:textId="0572D171" w:rsidR="00B02185" w:rsidRPr="009F575F" w:rsidRDefault="00B02185" w:rsidP="00B02185">
            <w:pPr>
              <w:rPr>
                <w:b/>
                <w:bCs/>
              </w:rPr>
            </w:pPr>
            <w:r w:rsidRPr="009F575F">
              <w:rPr>
                <w:b/>
                <w:bCs/>
              </w:rPr>
              <w:t>Answer</w:t>
            </w:r>
          </w:p>
          <w:p w14:paraId="4E5D4ABF" w14:textId="05FA8920" w:rsidR="00B02185" w:rsidRPr="009F575F" w:rsidRDefault="004B3758" w:rsidP="00B02185">
            <w:r w:rsidRPr="004B3758">
              <w:t>With reference to Section 1.1.1 and the relevant safety test certification methods, the Platform Lift shall be Constructed, Tested and Approved to comply with European Machinery Directives 2006/42/EC and BS 6440 / EN 81-41, as duly highlighted. This shall be applicable only for the tests and certifications standards that the lift shall conform to and hence, does not affect the specification of the platform lift itself.</w:t>
            </w:r>
          </w:p>
        </w:tc>
      </w:tr>
      <w:tr w:rsidR="001D386F" w:rsidRPr="00214EA4" w14:paraId="6A0E17B5" w14:textId="77777777" w:rsidTr="009F575F">
        <w:trPr>
          <w:cantSplit/>
          <w:trHeight w:val="454"/>
        </w:trPr>
        <w:tc>
          <w:tcPr>
            <w:tcW w:w="1207" w:type="dxa"/>
            <w:vMerge w:val="restart"/>
          </w:tcPr>
          <w:p w14:paraId="2EB286E5" w14:textId="143B8EEE" w:rsidR="001D386F" w:rsidRPr="00406F02" w:rsidRDefault="00CC04C1" w:rsidP="001D386F">
            <w:pPr>
              <w:spacing w:before="120" w:after="120"/>
              <w:rPr>
                <w:sz w:val="20"/>
                <w:szCs w:val="20"/>
              </w:rPr>
            </w:pPr>
            <w:r>
              <w:rPr>
                <w:sz w:val="20"/>
                <w:szCs w:val="20"/>
              </w:rPr>
              <w:t>Q2</w:t>
            </w:r>
          </w:p>
        </w:tc>
        <w:tc>
          <w:tcPr>
            <w:tcW w:w="8825" w:type="dxa"/>
          </w:tcPr>
          <w:p w14:paraId="761C1EAB" w14:textId="77777777" w:rsidR="001D386F" w:rsidRPr="009F575F" w:rsidRDefault="001D386F" w:rsidP="001D386F">
            <w:pPr>
              <w:tabs>
                <w:tab w:val="left" w:pos="5975"/>
              </w:tabs>
              <w:rPr>
                <w:b/>
                <w:bCs/>
                <w:lang w:val="en-GB"/>
              </w:rPr>
            </w:pPr>
            <w:r w:rsidRPr="009F575F">
              <w:rPr>
                <w:b/>
                <w:bCs/>
                <w:lang w:val="en-GB"/>
              </w:rPr>
              <w:t>Query</w:t>
            </w:r>
          </w:p>
          <w:p w14:paraId="664F8676" w14:textId="77777777" w:rsidR="004B3758" w:rsidRPr="004B3758" w:rsidRDefault="004B3758" w:rsidP="004B3758">
            <w:pPr>
              <w:tabs>
                <w:tab w:val="left" w:pos="5975"/>
              </w:tabs>
              <w:rPr>
                <w:sz w:val="20"/>
                <w:szCs w:val="20"/>
              </w:rPr>
            </w:pPr>
            <w:r w:rsidRPr="004B3758">
              <w:rPr>
                <w:sz w:val="20"/>
                <w:szCs w:val="20"/>
              </w:rPr>
              <w:t xml:space="preserve">In section 1.2.5, par. 4, it is quoted; "Any structural supports for the enclosure of the platform itself shall either be stainless steel 316L." </w:t>
            </w:r>
          </w:p>
          <w:p w14:paraId="11EDC793" w14:textId="13E64EB0" w:rsidR="001D386F" w:rsidRPr="004B3758" w:rsidRDefault="004B3758" w:rsidP="004B3758">
            <w:pPr>
              <w:tabs>
                <w:tab w:val="left" w:pos="5975"/>
              </w:tabs>
              <w:rPr>
                <w:sz w:val="20"/>
                <w:szCs w:val="20"/>
              </w:rPr>
            </w:pPr>
            <w:r w:rsidRPr="004B3758">
              <w:rPr>
                <w:sz w:val="20"/>
                <w:szCs w:val="20"/>
              </w:rPr>
              <w:t>Therefore, does the word "either" suggest that the structural supports can be made of a material other than stainless steel 316L?</w:t>
            </w:r>
          </w:p>
        </w:tc>
      </w:tr>
      <w:tr w:rsidR="001D386F" w:rsidRPr="00214EA4" w14:paraId="00E98C6D" w14:textId="77777777" w:rsidTr="009F575F">
        <w:trPr>
          <w:cantSplit/>
          <w:trHeight w:val="454"/>
        </w:trPr>
        <w:tc>
          <w:tcPr>
            <w:tcW w:w="1207" w:type="dxa"/>
            <w:vMerge/>
          </w:tcPr>
          <w:p w14:paraId="0F55630B" w14:textId="77777777" w:rsidR="001D386F" w:rsidRPr="00406F02" w:rsidRDefault="001D386F" w:rsidP="001D386F">
            <w:pPr>
              <w:spacing w:before="120" w:after="120"/>
              <w:rPr>
                <w:sz w:val="20"/>
                <w:szCs w:val="20"/>
              </w:rPr>
            </w:pPr>
          </w:p>
        </w:tc>
        <w:tc>
          <w:tcPr>
            <w:tcW w:w="8825" w:type="dxa"/>
          </w:tcPr>
          <w:p w14:paraId="1296E149" w14:textId="77777777" w:rsidR="001D386F" w:rsidRPr="009F575F" w:rsidRDefault="001D386F" w:rsidP="001D386F">
            <w:pPr>
              <w:rPr>
                <w:b/>
                <w:bCs/>
              </w:rPr>
            </w:pPr>
            <w:r w:rsidRPr="009F575F">
              <w:rPr>
                <w:b/>
                <w:bCs/>
              </w:rPr>
              <w:t>Answer</w:t>
            </w:r>
          </w:p>
          <w:p w14:paraId="59C54B60" w14:textId="413EA08E" w:rsidR="001D386F" w:rsidRPr="00E2212C" w:rsidRDefault="004B3758" w:rsidP="001D386F">
            <w:pPr>
              <w:tabs>
                <w:tab w:val="left" w:pos="5975"/>
              </w:tabs>
              <w:rPr>
                <w:sz w:val="20"/>
                <w:szCs w:val="20"/>
                <w:lang w:val="en-GB"/>
              </w:rPr>
            </w:pPr>
            <w:r w:rsidRPr="004B3758">
              <w:t>The supporting structure shall be stainless steel 316L, no other material shall be acceptable.</w:t>
            </w:r>
          </w:p>
        </w:tc>
      </w:tr>
      <w:tr w:rsidR="001D386F" w:rsidRPr="00214EA4" w14:paraId="048EB379" w14:textId="77777777" w:rsidTr="009F575F">
        <w:trPr>
          <w:cantSplit/>
          <w:trHeight w:val="454"/>
        </w:trPr>
        <w:tc>
          <w:tcPr>
            <w:tcW w:w="1207" w:type="dxa"/>
            <w:vMerge w:val="restart"/>
          </w:tcPr>
          <w:p w14:paraId="32AB0D13" w14:textId="56B8B092" w:rsidR="001D386F" w:rsidRPr="00406F02" w:rsidRDefault="00C30F7E" w:rsidP="001D386F">
            <w:pPr>
              <w:spacing w:before="120" w:after="120"/>
              <w:rPr>
                <w:sz w:val="20"/>
                <w:szCs w:val="20"/>
              </w:rPr>
            </w:pPr>
            <w:r>
              <w:rPr>
                <w:sz w:val="20"/>
                <w:szCs w:val="20"/>
              </w:rPr>
              <w:lastRenderedPageBreak/>
              <w:t>Q3</w:t>
            </w:r>
          </w:p>
        </w:tc>
        <w:tc>
          <w:tcPr>
            <w:tcW w:w="8825" w:type="dxa"/>
          </w:tcPr>
          <w:p w14:paraId="21B0CE56" w14:textId="77777777" w:rsidR="001D386F" w:rsidRPr="009F575F" w:rsidRDefault="001D386F" w:rsidP="001D386F">
            <w:pPr>
              <w:tabs>
                <w:tab w:val="left" w:pos="5975"/>
              </w:tabs>
              <w:rPr>
                <w:b/>
                <w:bCs/>
                <w:lang w:val="en-GB"/>
              </w:rPr>
            </w:pPr>
            <w:r w:rsidRPr="009F575F">
              <w:rPr>
                <w:b/>
                <w:bCs/>
                <w:lang w:val="en-GB"/>
              </w:rPr>
              <w:t>Query</w:t>
            </w:r>
          </w:p>
          <w:p w14:paraId="2ED67822" w14:textId="77777777" w:rsidR="004B3758" w:rsidRDefault="004B3758" w:rsidP="004B3758">
            <w:pPr>
              <w:jc w:val="both"/>
              <w:rPr>
                <w:rFonts w:ascii="Muli" w:hAnsi="Muli"/>
                <w:lang w:val="en-GB"/>
              </w:rPr>
            </w:pPr>
            <w:r>
              <w:rPr>
                <w:rFonts w:ascii="Muli" w:hAnsi="Muli"/>
              </w:rPr>
              <w:t>With reference to section 1.2.5, par. 4, quoting; "The lift shall be furnished with an enclosure to ensure that no person can stand beneath the lift whilst it is in motion."</w:t>
            </w:r>
          </w:p>
          <w:p w14:paraId="74CB6B78" w14:textId="77777777" w:rsidR="004B3758" w:rsidRDefault="004B3758" w:rsidP="004B3758">
            <w:pPr>
              <w:jc w:val="both"/>
              <w:rPr>
                <w:rFonts w:ascii="Muli" w:hAnsi="Muli"/>
              </w:rPr>
            </w:pPr>
            <w:r>
              <w:rPr>
                <w:rFonts w:ascii="Muli" w:hAnsi="Muli"/>
              </w:rPr>
              <w:t xml:space="preserve">Do you accept a safety </w:t>
            </w:r>
            <w:proofErr w:type="spellStart"/>
            <w:r>
              <w:rPr>
                <w:rFonts w:ascii="Muli" w:hAnsi="Muli"/>
              </w:rPr>
              <w:t>underpan</w:t>
            </w:r>
            <w:proofErr w:type="spellEnd"/>
            <w:r>
              <w:rPr>
                <w:rFonts w:ascii="Muli" w:hAnsi="Muli"/>
              </w:rPr>
              <w:t xml:space="preserve"> (as required by the BS6440-2011 and Directive 2006/42 EC) instead of the "enclosure" mentioned? Note that the safety </w:t>
            </w:r>
            <w:proofErr w:type="spellStart"/>
            <w:r>
              <w:rPr>
                <w:rFonts w:ascii="Muli" w:hAnsi="Muli"/>
              </w:rPr>
              <w:t>underpan</w:t>
            </w:r>
            <w:proofErr w:type="spellEnd"/>
            <w:r>
              <w:rPr>
                <w:rFonts w:ascii="Muli" w:hAnsi="Muli"/>
              </w:rPr>
              <w:t xml:space="preserve"> ensures that the lift stops should a person stand beneath it, as compliant with all the necessary EU regulations.</w:t>
            </w:r>
          </w:p>
          <w:p w14:paraId="6721538A" w14:textId="5BF17893" w:rsidR="001D386F" w:rsidRPr="004B3758" w:rsidRDefault="001D386F" w:rsidP="00C30F7E">
            <w:pPr>
              <w:spacing w:before="100" w:beforeAutospacing="1" w:after="100" w:afterAutospacing="1"/>
              <w:jc w:val="both"/>
            </w:pPr>
          </w:p>
        </w:tc>
      </w:tr>
      <w:tr w:rsidR="001D386F" w:rsidRPr="00214EA4" w14:paraId="28470A81" w14:textId="77777777" w:rsidTr="009F575F">
        <w:trPr>
          <w:cantSplit/>
          <w:trHeight w:val="454"/>
        </w:trPr>
        <w:tc>
          <w:tcPr>
            <w:tcW w:w="1207" w:type="dxa"/>
            <w:vMerge/>
          </w:tcPr>
          <w:p w14:paraId="3CAB4CDF" w14:textId="77777777" w:rsidR="001D386F" w:rsidRPr="00406F02" w:rsidRDefault="001D386F" w:rsidP="001D386F">
            <w:pPr>
              <w:spacing w:before="120" w:after="120"/>
              <w:rPr>
                <w:sz w:val="20"/>
                <w:szCs w:val="20"/>
              </w:rPr>
            </w:pPr>
          </w:p>
        </w:tc>
        <w:tc>
          <w:tcPr>
            <w:tcW w:w="8825" w:type="dxa"/>
          </w:tcPr>
          <w:p w14:paraId="6E299A4E" w14:textId="77777777" w:rsidR="001D386F" w:rsidRPr="009F575F" w:rsidRDefault="001D386F" w:rsidP="001D386F">
            <w:pPr>
              <w:rPr>
                <w:b/>
                <w:bCs/>
              </w:rPr>
            </w:pPr>
            <w:r w:rsidRPr="009F575F">
              <w:rPr>
                <w:b/>
                <w:bCs/>
              </w:rPr>
              <w:t>Answer</w:t>
            </w:r>
          </w:p>
          <w:p w14:paraId="6CBDE5F3" w14:textId="77777777" w:rsidR="004B3758" w:rsidRPr="004B3758" w:rsidRDefault="004B3758" w:rsidP="004B3758">
            <w:pPr>
              <w:tabs>
                <w:tab w:val="left" w:pos="5975"/>
              </w:tabs>
              <w:rPr>
                <w:lang w:val="en-GB"/>
              </w:rPr>
            </w:pPr>
            <w:r w:rsidRPr="004B3758">
              <w:rPr>
                <w:lang w:val="en-GB"/>
              </w:rPr>
              <w:t xml:space="preserve">The term ‘enclosure’ in this context shall refer to any construction/equipment that ensures that no person can stand beneath the lift, whilst the lift is in motion. </w:t>
            </w:r>
          </w:p>
          <w:p w14:paraId="12B0EB7E" w14:textId="3E9F9EF3" w:rsidR="001D386F" w:rsidRPr="00E2212C" w:rsidRDefault="004B3758" w:rsidP="004B3758">
            <w:pPr>
              <w:tabs>
                <w:tab w:val="left" w:pos="5975"/>
              </w:tabs>
              <w:rPr>
                <w:sz w:val="20"/>
                <w:szCs w:val="20"/>
                <w:lang w:val="en-GB"/>
              </w:rPr>
            </w:pPr>
            <w:r w:rsidRPr="004B3758">
              <w:rPr>
                <w:lang w:val="en-GB"/>
              </w:rPr>
              <w:t xml:space="preserve">It follows that, a safety </w:t>
            </w:r>
            <w:proofErr w:type="spellStart"/>
            <w:r w:rsidRPr="004B3758">
              <w:rPr>
                <w:lang w:val="en-GB"/>
              </w:rPr>
              <w:t>underpan</w:t>
            </w:r>
            <w:proofErr w:type="spellEnd"/>
            <w:r w:rsidRPr="004B3758">
              <w:rPr>
                <w:lang w:val="en-GB"/>
              </w:rPr>
              <w:t xml:space="preserve">, in compliance with the relevant standards and directives, which meets such a requirement, as well as other specifications detailed in the Tender Document, shall be </w:t>
            </w:r>
            <w:proofErr w:type="gramStart"/>
            <w:r w:rsidRPr="004B3758">
              <w:rPr>
                <w:lang w:val="en-GB"/>
              </w:rPr>
              <w:t>acceptable.</w:t>
            </w:r>
            <w:r w:rsidR="00C30F7E">
              <w:rPr>
                <w:lang w:val="en-GB"/>
              </w:rPr>
              <w:t>.</w:t>
            </w:r>
            <w:proofErr w:type="gramEnd"/>
          </w:p>
        </w:tc>
      </w:tr>
      <w:tr w:rsidR="001D386F" w:rsidRPr="00214EA4" w14:paraId="787E1B29" w14:textId="77777777" w:rsidTr="009F575F">
        <w:trPr>
          <w:cantSplit/>
          <w:trHeight w:val="454"/>
        </w:trPr>
        <w:tc>
          <w:tcPr>
            <w:tcW w:w="1207" w:type="dxa"/>
            <w:vMerge w:val="restart"/>
          </w:tcPr>
          <w:p w14:paraId="62A970C8" w14:textId="088B8EB9" w:rsidR="001D386F" w:rsidRPr="00406F02" w:rsidRDefault="00C30F7E" w:rsidP="001D386F">
            <w:pPr>
              <w:spacing w:before="120" w:after="120"/>
              <w:rPr>
                <w:sz w:val="20"/>
                <w:szCs w:val="20"/>
              </w:rPr>
            </w:pPr>
            <w:r>
              <w:rPr>
                <w:sz w:val="20"/>
                <w:szCs w:val="20"/>
              </w:rPr>
              <w:t>Q4</w:t>
            </w:r>
          </w:p>
        </w:tc>
        <w:tc>
          <w:tcPr>
            <w:tcW w:w="8825" w:type="dxa"/>
          </w:tcPr>
          <w:p w14:paraId="1958A351" w14:textId="0C47C36D" w:rsidR="001D386F" w:rsidRPr="00E2212C" w:rsidRDefault="001D386F" w:rsidP="001D386F">
            <w:pPr>
              <w:tabs>
                <w:tab w:val="left" w:pos="5975"/>
              </w:tabs>
              <w:rPr>
                <w:sz w:val="20"/>
                <w:szCs w:val="20"/>
                <w:lang w:val="en-GB"/>
              </w:rPr>
            </w:pPr>
          </w:p>
        </w:tc>
      </w:tr>
      <w:tr w:rsidR="001D386F" w:rsidRPr="00214EA4" w14:paraId="11283775" w14:textId="77777777" w:rsidTr="009F575F">
        <w:trPr>
          <w:cantSplit/>
          <w:trHeight w:val="454"/>
        </w:trPr>
        <w:tc>
          <w:tcPr>
            <w:tcW w:w="1207" w:type="dxa"/>
            <w:vMerge/>
          </w:tcPr>
          <w:p w14:paraId="5D0BD59C" w14:textId="77777777" w:rsidR="001D386F" w:rsidRPr="00406F02" w:rsidRDefault="001D386F" w:rsidP="001D386F">
            <w:pPr>
              <w:spacing w:before="120" w:after="120"/>
              <w:rPr>
                <w:sz w:val="20"/>
                <w:szCs w:val="20"/>
              </w:rPr>
            </w:pPr>
          </w:p>
        </w:tc>
        <w:tc>
          <w:tcPr>
            <w:tcW w:w="8825" w:type="dxa"/>
          </w:tcPr>
          <w:p w14:paraId="2A0EB450" w14:textId="3820EA6A" w:rsidR="001D386F" w:rsidRPr="00E2212C" w:rsidRDefault="001D386F" w:rsidP="001D386F">
            <w:pPr>
              <w:tabs>
                <w:tab w:val="left" w:pos="5975"/>
              </w:tabs>
              <w:rPr>
                <w:sz w:val="20"/>
                <w:szCs w:val="20"/>
                <w:lang w:val="en-GB"/>
              </w:rPr>
            </w:pPr>
          </w:p>
        </w:tc>
      </w:tr>
    </w:tbl>
    <w:p w14:paraId="4DED5705" w14:textId="12BC5398" w:rsidR="008E03BC" w:rsidRDefault="008E03BC">
      <w:pPr>
        <w:rPr>
          <w:sz w:val="20"/>
          <w:szCs w:val="20"/>
          <w:lang w:val="en-GB"/>
        </w:rPr>
      </w:pPr>
    </w:p>
    <w:tbl>
      <w:tblPr>
        <w:tblStyle w:val="TableGrid"/>
        <w:tblW w:w="10066"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65"/>
        <w:gridCol w:w="1849"/>
        <w:gridCol w:w="1152"/>
      </w:tblGrid>
      <w:tr w:rsidR="004B3758" w:rsidRPr="00217F99" w14:paraId="465132BA" w14:textId="77777777" w:rsidTr="004B3758">
        <w:trPr>
          <w:trHeight w:val="1154"/>
        </w:trPr>
        <w:tc>
          <w:tcPr>
            <w:tcW w:w="7065" w:type="dxa"/>
            <w:shd w:val="clear" w:color="auto" w:fill="D9D9D9" w:themeFill="background1" w:themeFillShade="D9"/>
            <w:vAlign w:val="center"/>
          </w:tcPr>
          <w:p w14:paraId="159B907E" w14:textId="77777777" w:rsidR="004B3758" w:rsidRPr="00217F99" w:rsidRDefault="004B3758" w:rsidP="0013438D">
            <w:pPr>
              <w:rPr>
                <w:rFonts w:cstheme="minorHAnsi"/>
                <w:sz w:val="18"/>
                <w:szCs w:val="18"/>
                <w:lang w:val="en-GB"/>
              </w:rPr>
            </w:pPr>
            <w:r w:rsidRPr="00217F99">
              <w:rPr>
                <w:rFonts w:cstheme="minorHAnsi"/>
                <w:sz w:val="18"/>
                <w:szCs w:val="18"/>
                <w:lang w:val="en-GB"/>
              </w:rPr>
              <w:t>Deadline for request for any additional information from the NGO</w:t>
            </w:r>
          </w:p>
          <w:p w14:paraId="68874E4F" w14:textId="77777777" w:rsidR="004B3758" w:rsidRPr="00217F99" w:rsidRDefault="004B3758" w:rsidP="0013438D">
            <w:pPr>
              <w:rPr>
                <w:rFonts w:cstheme="minorHAnsi"/>
                <w:b/>
                <w:sz w:val="18"/>
                <w:szCs w:val="18"/>
                <w:lang w:val="en-GB"/>
              </w:rPr>
            </w:pPr>
            <w:r w:rsidRPr="00217F99">
              <w:rPr>
                <w:rFonts w:cstheme="minorHAnsi"/>
                <w:b/>
                <w:sz w:val="18"/>
                <w:szCs w:val="18"/>
                <w:lang w:val="en-GB"/>
              </w:rPr>
              <w:t xml:space="preserve">Clarification requests should be addressed to: </w:t>
            </w:r>
            <w:r w:rsidRPr="00217F99">
              <w:rPr>
                <w:rFonts w:cstheme="minorHAnsi"/>
                <w:b/>
                <w:i/>
                <w:sz w:val="18"/>
                <w:szCs w:val="18"/>
                <w:lang w:val="en-GB"/>
              </w:rPr>
              <w:t>info@naturetrustmalta.org</w:t>
            </w:r>
          </w:p>
        </w:tc>
        <w:tc>
          <w:tcPr>
            <w:tcW w:w="1849" w:type="dxa"/>
            <w:shd w:val="clear" w:color="auto" w:fill="FFFF00"/>
            <w:vAlign w:val="center"/>
          </w:tcPr>
          <w:p w14:paraId="29D41BC8" w14:textId="77777777" w:rsidR="004B3758" w:rsidRPr="0000652C" w:rsidRDefault="004B3758" w:rsidP="0013438D">
            <w:pPr>
              <w:jc w:val="center"/>
              <w:rPr>
                <w:rFonts w:cstheme="minorHAnsi"/>
                <w:sz w:val="20"/>
                <w:szCs w:val="20"/>
                <w:lang w:val="en-GB"/>
              </w:rPr>
            </w:pPr>
            <w:r>
              <w:rPr>
                <w:rFonts w:cstheme="minorHAnsi"/>
                <w:sz w:val="20"/>
                <w:szCs w:val="20"/>
                <w:lang w:val="en-GB"/>
              </w:rPr>
              <w:t>Thursday 1</w:t>
            </w:r>
            <w:r w:rsidRPr="00046AA2">
              <w:rPr>
                <w:rFonts w:cstheme="minorHAnsi"/>
                <w:sz w:val="20"/>
                <w:szCs w:val="20"/>
                <w:vertAlign w:val="superscript"/>
                <w:lang w:val="en-GB"/>
              </w:rPr>
              <w:t>st</w:t>
            </w:r>
            <w:r>
              <w:rPr>
                <w:rFonts w:cstheme="minorHAnsi"/>
                <w:sz w:val="20"/>
                <w:szCs w:val="20"/>
                <w:lang w:val="en-GB"/>
              </w:rPr>
              <w:t xml:space="preserve"> October 2020</w:t>
            </w:r>
          </w:p>
        </w:tc>
        <w:tc>
          <w:tcPr>
            <w:tcW w:w="1152" w:type="dxa"/>
            <w:shd w:val="clear" w:color="auto" w:fill="FFFF00"/>
            <w:vAlign w:val="center"/>
          </w:tcPr>
          <w:p w14:paraId="493A992E" w14:textId="77777777" w:rsidR="004B3758" w:rsidRDefault="004B3758" w:rsidP="0013438D">
            <w:pPr>
              <w:jc w:val="center"/>
              <w:rPr>
                <w:rFonts w:cstheme="minorHAnsi"/>
                <w:sz w:val="18"/>
                <w:szCs w:val="18"/>
                <w:lang w:val="en-GB"/>
              </w:rPr>
            </w:pPr>
            <w:r>
              <w:rPr>
                <w:rFonts w:cstheme="minorHAnsi"/>
                <w:sz w:val="18"/>
                <w:szCs w:val="18"/>
                <w:lang w:val="en-GB"/>
              </w:rPr>
              <w:t>12:00 hrs</w:t>
            </w:r>
          </w:p>
          <w:p w14:paraId="68134529" w14:textId="77777777" w:rsidR="004B3758" w:rsidRPr="00217F99" w:rsidRDefault="004B3758" w:rsidP="0013438D">
            <w:pPr>
              <w:jc w:val="center"/>
              <w:rPr>
                <w:rFonts w:cstheme="minorHAnsi"/>
                <w:sz w:val="20"/>
                <w:szCs w:val="20"/>
                <w:lang w:val="en-GB"/>
              </w:rPr>
            </w:pPr>
            <w:r>
              <w:rPr>
                <w:rFonts w:cstheme="minorHAnsi"/>
                <w:sz w:val="18"/>
                <w:szCs w:val="18"/>
                <w:lang w:val="en-GB"/>
              </w:rPr>
              <w:t>(noon)</w:t>
            </w:r>
          </w:p>
        </w:tc>
      </w:tr>
      <w:tr w:rsidR="004B3758" w:rsidRPr="00217F99" w14:paraId="7E4C833A" w14:textId="77777777" w:rsidTr="004B3758">
        <w:trPr>
          <w:trHeight w:val="835"/>
        </w:trPr>
        <w:tc>
          <w:tcPr>
            <w:tcW w:w="7065" w:type="dxa"/>
            <w:shd w:val="clear" w:color="auto" w:fill="D9D9D9" w:themeFill="background1" w:themeFillShade="D9"/>
            <w:vAlign w:val="center"/>
          </w:tcPr>
          <w:p w14:paraId="3413D493" w14:textId="77777777" w:rsidR="004B3758" w:rsidRPr="00217F99" w:rsidRDefault="004B3758" w:rsidP="0013438D">
            <w:pPr>
              <w:rPr>
                <w:rFonts w:cstheme="minorHAnsi"/>
                <w:sz w:val="20"/>
                <w:szCs w:val="20"/>
                <w:lang w:val="en-GB"/>
              </w:rPr>
            </w:pPr>
            <w:r w:rsidRPr="00217F99">
              <w:rPr>
                <w:rFonts w:cstheme="minorHAnsi"/>
                <w:sz w:val="18"/>
                <w:szCs w:val="18"/>
                <w:lang w:val="en-GB"/>
              </w:rPr>
              <w:t>Last date on which additional information can be issued by the NGO</w:t>
            </w:r>
          </w:p>
        </w:tc>
        <w:tc>
          <w:tcPr>
            <w:tcW w:w="1849" w:type="dxa"/>
            <w:shd w:val="clear" w:color="auto" w:fill="FFFF00"/>
            <w:vAlign w:val="center"/>
          </w:tcPr>
          <w:p w14:paraId="77CEDE6B" w14:textId="77777777" w:rsidR="004B3758" w:rsidRPr="0000652C" w:rsidRDefault="004B3758" w:rsidP="0013438D">
            <w:pPr>
              <w:jc w:val="center"/>
              <w:rPr>
                <w:rFonts w:cstheme="minorHAnsi"/>
                <w:sz w:val="20"/>
                <w:szCs w:val="20"/>
                <w:lang w:val="en-GB"/>
              </w:rPr>
            </w:pPr>
            <w:r>
              <w:rPr>
                <w:rFonts w:cstheme="minorHAnsi"/>
                <w:sz w:val="20"/>
                <w:szCs w:val="20"/>
                <w:lang w:val="en-GB"/>
              </w:rPr>
              <w:t>Tuesday 6</w:t>
            </w:r>
            <w:r w:rsidRPr="00046AA2">
              <w:rPr>
                <w:rFonts w:cstheme="minorHAnsi"/>
                <w:sz w:val="20"/>
                <w:szCs w:val="20"/>
                <w:vertAlign w:val="superscript"/>
                <w:lang w:val="en-GB"/>
              </w:rPr>
              <w:t>th</w:t>
            </w:r>
            <w:r>
              <w:rPr>
                <w:rFonts w:cstheme="minorHAnsi"/>
                <w:sz w:val="20"/>
                <w:szCs w:val="20"/>
                <w:lang w:val="en-GB"/>
              </w:rPr>
              <w:t xml:space="preserve"> October 2020</w:t>
            </w:r>
          </w:p>
        </w:tc>
        <w:tc>
          <w:tcPr>
            <w:tcW w:w="1152" w:type="dxa"/>
            <w:shd w:val="clear" w:color="auto" w:fill="FFFF00"/>
            <w:vAlign w:val="center"/>
          </w:tcPr>
          <w:p w14:paraId="5637B8F7" w14:textId="77777777" w:rsidR="004B3758" w:rsidRDefault="004B3758" w:rsidP="0013438D">
            <w:pPr>
              <w:jc w:val="center"/>
              <w:rPr>
                <w:rFonts w:cstheme="minorHAnsi"/>
                <w:sz w:val="18"/>
                <w:szCs w:val="18"/>
                <w:lang w:val="en-GB"/>
              </w:rPr>
            </w:pPr>
            <w:r>
              <w:rPr>
                <w:rFonts w:cstheme="minorHAnsi"/>
                <w:sz w:val="18"/>
                <w:szCs w:val="18"/>
                <w:lang w:val="en-GB"/>
              </w:rPr>
              <w:t>12:00 hrs</w:t>
            </w:r>
          </w:p>
          <w:p w14:paraId="32BFAC94" w14:textId="77777777" w:rsidR="004B3758" w:rsidRPr="00217F99" w:rsidRDefault="004B3758" w:rsidP="0013438D">
            <w:pPr>
              <w:jc w:val="center"/>
              <w:rPr>
                <w:rFonts w:cstheme="minorHAnsi"/>
                <w:sz w:val="20"/>
                <w:szCs w:val="20"/>
                <w:lang w:val="en-GB"/>
              </w:rPr>
            </w:pPr>
            <w:r>
              <w:rPr>
                <w:rFonts w:cstheme="minorHAnsi"/>
                <w:sz w:val="18"/>
                <w:szCs w:val="18"/>
                <w:lang w:val="en-GB"/>
              </w:rPr>
              <w:t>(noon)</w:t>
            </w:r>
          </w:p>
        </w:tc>
      </w:tr>
    </w:tbl>
    <w:p w14:paraId="0ED828A2" w14:textId="77777777" w:rsidR="004B3758" w:rsidRDefault="004B3758">
      <w:pPr>
        <w:rPr>
          <w:sz w:val="20"/>
          <w:szCs w:val="20"/>
          <w:lang w:val="en-GB"/>
        </w:rPr>
      </w:pPr>
    </w:p>
    <w:p w14:paraId="34F5AB08" w14:textId="7968A247" w:rsidR="00F9712F" w:rsidRPr="00214EA4" w:rsidRDefault="00F9712F">
      <w:pPr>
        <w:rPr>
          <w:sz w:val="20"/>
          <w:szCs w:val="20"/>
          <w:lang w:val="en-GB"/>
        </w:rPr>
      </w:pPr>
      <w:r>
        <w:rPr>
          <w:sz w:val="20"/>
          <w:szCs w:val="20"/>
          <w:lang w:val="en-GB"/>
        </w:rPr>
        <w:t xml:space="preserve">Date of Document </w:t>
      </w:r>
      <w:r w:rsidR="00B305F2">
        <w:rPr>
          <w:sz w:val="20"/>
          <w:szCs w:val="20"/>
          <w:lang w:val="en-GB"/>
        </w:rPr>
        <w:t>–</w:t>
      </w:r>
      <w:r>
        <w:rPr>
          <w:sz w:val="20"/>
          <w:szCs w:val="20"/>
          <w:lang w:val="en-GB"/>
        </w:rPr>
        <w:t xml:space="preserve"> </w:t>
      </w:r>
      <w:r w:rsidR="004B3758">
        <w:rPr>
          <w:sz w:val="20"/>
          <w:szCs w:val="20"/>
          <w:lang w:val="en-GB"/>
        </w:rPr>
        <w:t>28 September</w:t>
      </w:r>
      <w:r>
        <w:rPr>
          <w:sz w:val="20"/>
          <w:szCs w:val="20"/>
          <w:lang w:val="en-GB"/>
        </w:rPr>
        <w:t xml:space="preserve"> 2020</w:t>
      </w:r>
    </w:p>
    <w:sectPr w:rsidR="00F9712F" w:rsidRPr="00214EA4" w:rsidSect="005F6717">
      <w:headerReference w:type="default" r:id="rId6"/>
      <w:footerReference w:type="default" r:id="rId7"/>
      <w:pgSz w:w="12240" w:h="15840"/>
      <w:pgMar w:top="1440"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400A4" w14:textId="77777777" w:rsidR="00164D0B" w:rsidRDefault="00164D0B" w:rsidP="005F6717">
      <w:pPr>
        <w:spacing w:after="0" w:line="240" w:lineRule="auto"/>
      </w:pPr>
      <w:r>
        <w:separator/>
      </w:r>
    </w:p>
  </w:endnote>
  <w:endnote w:type="continuationSeparator" w:id="0">
    <w:p w14:paraId="0B25E374" w14:textId="77777777" w:rsidR="00164D0B" w:rsidRDefault="00164D0B" w:rsidP="005F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uli">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71235" w14:textId="08E03579" w:rsidR="008E03BC" w:rsidRDefault="008E03BC">
    <w:pPr>
      <w:pStyle w:val="Footer"/>
    </w:pPr>
    <w:r>
      <w:rPr>
        <w:noProof/>
        <w:lang w:val="en-GB" w:eastAsia="en-GB"/>
      </w:rPr>
      <w:drawing>
        <wp:inline distT="0" distB="0" distL="0" distR="0" wp14:anchorId="1C70287E" wp14:editId="15CE32D5">
          <wp:extent cx="5943600" cy="950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DF OP 1 EN.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505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CD517" w14:textId="77777777" w:rsidR="00164D0B" w:rsidRDefault="00164D0B" w:rsidP="005F6717">
      <w:pPr>
        <w:spacing w:after="0" w:line="240" w:lineRule="auto"/>
      </w:pPr>
      <w:r>
        <w:separator/>
      </w:r>
    </w:p>
  </w:footnote>
  <w:footnote w:type="continuationSeparator" w:id="0">
    <w:p w14:paraId="5100166B" w14:textId="77777777" w:rsidR="00164D0B" w:rsidRDefault="00164D0B" w:rsidP="005F6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106"/>
    </w:tblGrid>
    <w:tr w:rsidR="005F6717" w14:paraId="4DB2D68B" w14:textId="77777777" w:rsidTr="005F6717">
      <w:tc>
        <w:tcPr>
          <w:tcW w:w="4675" w:type="dxa"/>
        </w:tcPr>
        <w:p w14:paraId="6AAD8FD9" w14:textId="28EF44DA" w:rsidR="005F6717" w:rsidRDefault="005F6717">
          <w:pPr>
            <w:pStyle w:val="Header"/>
          </w:pPr>
          <w:r>
            <w:rPr>
              <w:noProof/>
              <w:lang w:val="en-GB" w:eastAsia="en-GB"/>
            </w:rPr>
            <w:drawing>
              <wp:inline distT="0" distB="0" distL="0" distR="0" wp14:anchorId="7E3125ED" wp14:editId="294FF703">
                <wp:extent cx="1722857" cy="720000"/>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mono ENG.jpg"/>
                        <pic:cNvPicPr/>
                      </pic:nvPicPr>
                      <pic:blipFill>
                        <a:blip r:embed="rId1">
                          <a:extLst>
                            <a:ext uri="{28A0092B-C50C-407E-A947-70E740481C1C}">
                              <a14:useLocalDpi xmlns:a14="http://schemas.microsoft.com/office/drawing/2010/main" val="0"/>
                            </a:ext>
                          </a:extLst>
                        </a:blip>
                        <a:stretch>
                          <a:fillRect/>
                        </a:stretch>
                      </pic:blipFill>
                      <pic:spPr>
                        <a:xfrm>
                          <a:off x="0" y="0"/>
                          <a:ext cx="1722857" cy="720000"/>
                        </a:xfrm>
                        <a:prstGeom prst="rect">
                          <a:avLst/>
                        </a:prstGeom>
                      </pic:spPr>
                    </pic:pic>
                  </a:graphicData>
                </a:graphic>
              </wp:inline>
            </w:drawing>
          </w:r>
        </w:p>
      </w:tc>
      <w:tc>
        <w:tcPr>
          <w:tcW w:w="5106" w:type="dxa"/>
          <w:vAlign w:val="center"/>
        </w:tcPr>
        <w:p w14:paraId="1F745A24" w14:textId="17221413" w:rsidR="005F6717" w:rsidRDefault="005F6717" w:rsidP="005F6717">
          <w:pPr>
            <w:pStyle w:val="Header"/>
            <w:jc w:val="right"/>
          </w:pPr>
          <w:r>
            <w:rPr>
              <w:noProof/>
              <w:lang w:val="en-GB" w:eastAsia="en-GB"/>
            </w:rPr>
            <w:drawing>
              <wp:anchor distT="0" distB="0" distL="114300" distR="114300" simplePos="0" relativeHeight="251659264" behindDoc="0" locked="0" layoutInCell="1" allowOverlap="1" wp14:anchorId="1168D6AD" wp14:editId="413F5567">
                <wp:simplePos x="0" y="0"/>
                <wp:positionH relativeFrom="column">
                  <wp:posOffset>2068830</wp:posOffset>
                </wp:positionH>
                <wp:positionV relativeFrom="paragraph">
                  <wp:posOffset>0</wp:posOffset>
                </wp:positionV>
                <wp:extent cx="1101725" cy="720000"/>
                <wp:effectExtent l="0" t="0" r="3175" b="4445"/>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01725" cy="720000"/>
                        </a:xfrm>
                        <a:prstGeom prst="rect">
                          <a:avLst/>
                        </a:prstGeom>
                      </pic:spPr>
                    </pic:pic>
                  </a:graphicData>
                </a:graphic>
                <wp14:sizeRelH relativeFrom="margin">
                  <wp14:pctWidth>0</wp14:pctWidth>
                </wp14:sizeRelH>
                <wp14:sizeRelV relativeFrom="margin">
                  <wp14:pctHeight>0</wp14:pctHeight>
                </wp14:sizeRelV>
              </wp:anchor>
            </w:drawing>
          </w:r>
        </w:p>
      </w:tc>
    </w:tr>
  </w:tbl>
  <w:p w14:paraId="4928CD81" w14:textId="77777777" w:rsidR="005F6717" w:rsidRDefault="005F67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27F"/>
    <w:rsid w:val="00164D0B"/>
    <w:rsid w:val="001A7E23"/>
    <w:rsid w:val="001B6353"/>
    <w:rsid w:val="001D386F"/>
    <w:rsid w:val="00214EA4"/>
    <w:rsid w:val="002E6913"/>
    <w:rsid w:val="003064B7"/>
    <w:rsid w:val="00406F02"/>
    <w:rsid w:val="00436B14"/>
    <w:rsid w:val="00452328"/>
    <w:rsid w:val="004A1D36"/>
    <w:rsid w:val="004B3758"/>
    <w:rsid w:val="00503EEA"/>
    <w:rsid w:val="005750ED"/>
    <w:rsid w:val="00583767"/>
    <w:rsid w:val="00590341"/>
    <w:rsid w:val="005F6717"/>
    <w:rsid w:val="006A3C15"/>
    <w:rsid w:val="0070327B"/>
    <w:rsid w:val="0071027F"/>
    <w:rsid w:val="007500B5"/>
    <w:rsid w:val="00783667"/>
    <w:rsid w:val="007D7DFB"/>
    <w:rsid w:val="007F3F74"/>
    <w:rsid w:val="008131D2"/>
    <w:rsid w:val="00861BD9"/>
    <w:rsid w:val="008E03BC"/>
    <w:rsid w:val="009F575F"/>
    <w:rsid w:val="009F67B4"/>
    <w:rsid w:val="00A446D2"/>
    <w:rsid w:val="00A47834"/>
    <w:rsid w:val="00AC220E"/>
    <w:rsid w:val="00B02185"/>
    <w:rsid w:val="00B305F2"/>
    <w:rsid w:val="00BC67EE"/>
    <w:rsid w:val="00BE2F8D"/>
    <w:rsid w:val="00BF28DF"/>
    <w:rsid w:val="00C30F7E"/>
    <w:rsid w:val="00CC04C1"/>
    <w:rsid w:val="00D42A2F"/>
    <w:rsid w:val="00DD7895"/>
    <w:rsid w:val="00E2212C"/>
    <w:rsid w:val="00E3370F"/>
    <w:rsid w:val="00E57D08"/>
    <w:rsid w:val="00F22537"/>
    <w:rsid w:val="00F52A6B"/>
    <w:rsid w:val="00F571C4"/>
    <w:rsid w:val="00F87124"/>
    <w:rsid w:val="00F942DE"/>
    <w:rsid w:val="00F9712F"/>
    <w:rsid w:val="00FB3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CFFDA"/>
  <w15:chartTrackingRefBased/>
  <w15:docId w15:val="{1003FDFD-957D-407D-9E38-7017D744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F0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1027F"/>
    <w:rPr>
      <w:rFonts w:ascii="Trebuchet MS" w:hAnsi="Trebuchet MS"/>
      <w:color w:val="0000FF"/>
      <w:sz w:val="20"/>
      <w:u w:val="single"/>
    </w:rPr>
  </w:style>
  <w:style w:type="paragraph" w:customStyle="1" w:styleId="Default">
    <w:name w:val="Default"/>
    <w:rsid w:val="00BC67EE"/>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table" w:styleId="TableGrid">
    <w:name w:val="Table Grid"/>
    <w:basedOn w:val="TableNormal"/>
    <w:uiPriority w:val="39"/>
    <w:rsid w:val="005F6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717"/>
    <w:rPr>
      <w:lang w:val="en-US"/>
    </w:rPr>
  </w:style>
  <w:style w:type="paragraph" w:styleId="Footer">
    <w:name w:val="footer"/>
    <w:basedOn w:val="Normal"/>
    <w:link w:val="FooterChar"/>
    <w:uiPriority w:val="99"/>
    <w:unhideWhenUsed/>
    <w:rsid w:val="005F6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717"/>
    <w:rPr>
      <w:lang w:val="en-US"/>
    </w:rPr>
  </w:style>
  <w:style w:type="paragraph" w:styleId="BalloonText">
    <w:name w:val="Balloon Text"/>
    <w:basedOn w:val="Normal"/>
    <w:link w:val="BalloonTextChar"/>
    <w:uiPriority w:val="99"/>
    <w:semiHidden/>
    <w:unhideWhenUsed/>
    <w:rsid w:val="00AC2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20E"/>
    <w:rPr>
      <w:rFonts w:ascii="Segoe UI" w:hAnsi="Segoe UI" w:cs="Segoe UI"/>
      <w:sz w:val="18"/>
      <w:szCs w:val="18"/>
      <w:lang w:val="en-US"/>
    </w:rPr>
  </w:style>
  <w:style w:type="character" w:styleId="CommentReference">
    <w:name w:val="annotation reference"/>
    <w:basedOn w:val="DefaultParagraphFont"/>
    <w:uiPriority w:val="99"/>
    <w:semiHidden/>
    <w:unhideWhenUsed/>
    <w:rsid w:val="00F87124"/>
    <w:rPr>
      <w:sz w:val="16"/>
      <w:szCs w:val="16"/>
    </w:rPr>
  </w:style>
  <w:style w:type="paragraph" w:styleId="CommentText">
    <w:name w:val="annotation text"/>
    <w:basedOn w:val="Normal"/>
    <w:link w:val="CommentTextChar"/>
    <w:uiPriority w:val="99"/>
    <w:semiHidden/>
    <w:unhideWhenUsed/>
    <w:rsid w:val="00F87124"/>
    <w:pPr>
      <w:spacing w:line="240" w:lineRule="auto"/>
    </w:pPr>
    <w:rPr>
      <w:sz w:val="20"/>
      <w:szCs w:val="20"/>
    </w:rPr>
  </w:style>
  <w:style w:type="character" w:customStyle="1" w:styleId="CommentTextChar">
    <w:name w:val="Comment Text Char"/>
    <w:basedOn w:val="DefaultParagraphFont"/>
    <w:link w:val="CommentText"/>
    <w:uiPriority w:val="99"/>
    <w:semiHidden/>
    <w:rsid w:val="00F87124"/>
    <w:rPr>
      <w:sz w:val="20"/>
      <w:szCs w:val="20"/>
      <w:lang w:val="en-US"/>
    </w:rPr>
  </w:style>
  <w:style w:type="paragraph" w:styleId="CommentSubject">
    <w:name w:val="annotation subject"/>
    <w:basedOn w:val="CommentText"/>
    <w:next w:val="CommentText"/>
    <w:link w:val="CommentSubjectChar"/>
    <w:uiPriority w:val="99"/>
    <w:semiHidden/>
    <w:unhideWhenUsed/>
    <w:rsid w:val="00F87124"/>
    <w:rPr>
      <w:b/>
      <w:bCs/>
    </w:rPr>
  </w:style>
  <w:style w:type="character" w:customStyle="1" w:styleId="CommentSubjectChar">
    <w:name w:val="Comment Subject Char"/>
    <w:basedOn w:val="CommentTextChar"/>
    <w:link w:val="CommentSubject"/>
    <w:uiPriority w:val="99"/>
    <w:semiHidden/>
    <w:rsid w:val="00F8712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7687">
      <w:bodyDiv w:val="1"/>
      <w:marLeft w:val="0"/>
      <w:marRight w:val="0"/>
      <w:marTop w:val="0"/>
      <w:marBottom w:val="0"/>
      <w:divBdr>
        <w:top w:val="none" w:sz="0" w:space="0" w:color="auto"/>
        <w:left w:val="none" w:sz="0" w:space="0" w:color="auto"/>
        <w:bottom w:val="none" w:sz="0" w:space="0" w:color="auto"/>
        <w:right w:val="none" w:sz="0" w:space="0" w:color="auto"/>
      </w:divBdr>
    </w:div>
    <w:div w:id="292103844">
      <w:bodyDiv w:val="1"/>
      <w:marLeft w:val="0"/>
      <w:marRight w:val="0"/>
      <w:marTop w:val="0"/>
      <w:marBottom w:val="0"/>
      <w:divBdr>
        <w:top w:val="none" w:sz="0" w:space="0" w:color="auto"/>
        <w:left w:val="none" w:sz="0" w:space="0" w:color="auto"/>
        <w:bottom w:val="none" w:sz="0" w:space="0" w:color="auto"/>
        <w:right w:val="none" w:sz="0" w:space="0" w:color="auto"/>
      </w:divBdr>
    </w:div>
    <w:div w:id="318273641">
      <w:bodyDiv w:val="1"/>
      <w:marLeft w:val="0"/>
      <w:marRight w:val="0"/>
      <w:marTop w:val="0"/>
      <w:marBottom w:val="0"/>
      <w:divBdr>
        <w:top w:val="none" w:sz="0" w:space="0" w:color="auto"/>
        <w:left w:val="none" w:sz="0" w:space="0" w:color="auto"/>
        <w:bottom w:val="none" w:sz="0" w:space="0" w:color="auto"/>
        <w:right w:val="none" w:sz="0" w:space="0" w:color="auto"/>
      </w:divBdr>
    </w:div>
    <w:div w:id="367223134">
      <w:bodyDiv w:val="1"/>
      <w:marLeft w:val="0"/>
      <w:marRight w:val="0"/>
      <w:marTop w:val="0"/>
      <w:marBottom w:val="0"/>
      <w:divBdr>
        <w:top w:val="none" w:sz="0" w:space="0" w:color="auto"/>
        <w:left w:val="none" w:sz="0" w:space="0" w:color="auto"/>
        <w:bottom w:val="none" w:sz="0" w:space="0" w:color="auto"/>
        <w:right w:val="none" w:sz="0" w:space="0" w:color="auto"/>
      </w:divBdr>
    </w:div>
    <w:div w:id="428887834">
      <w:bodyDiv w:val="1"/>
      <w:marLeft w:val="0"/>
      <w:marRight w:val="0"/>
      <w:marTop w:val="0"/>
      <w:marBottom w:val="0"/>
      <w:divBdr>
        <w:top w:val="none" w:sz="0" w:space="0" w:color="auto"/>
        <w:left w:val="none" w:sz="0" w:space="0" w:color="auto"/>
        <w:bottom w:val="none" w:sz="0" w:space="0" w:color="auto"/>
        <w:right w:val="none" w:sz="0" w:space="0" w:color="auto"/>
      </w:divBdr>
    </w:div>
    <w:div w:id="549071892">
      <w:bodyDiv w:val="1"/>
      <w:marLeft w:val="0"/>
      <w:marRight w:val="0"/>
      <w:marTop w:val="0"/>
      <w:marBottom w:val="0"/>
      <w:divBdr>
        <w:top w:val="none" w:sz="0" w:space="0" w:color="auto"/>
        <w:left w:val="none" w:sz="0" w:space="0" w:color="auto"/>
        <w:bottom w:val="none" w:sz="0" w:space="0" w:color="auto"/>
        <w:right w:val="none" w:sz="0" w:space="0" w:color="auto"/>
      </w:divBdr>
    </w:div>
    <w:div w:id="848980989">
      <w:bodyDiv w:val="1"/>
      <w:marLeft w:val="0"/>
      <w:marRight w:val="0"/>
      <w:marTop w:val="0"/>
      <w:marBottom w:val="0"/>
      <w:divBdr>
        <w:top w:val="none" w:sz="0" w:space="0" w:color="auto"/>
        <w:left w:val="none" w:sz="0" w:space="0" w:color="auto"/>
        <w:bottom w:val="none" w:sz="0" w:space="0" w:color="auto"/>
        <w:right w:val="none" w:sz="0" w:space="0" w:color="auto"/>
      </w:divBdr>
    </w:div>
    <w:div w:id="851533789">
      <w:bodyDiv w:val="1"/>
      <w:marLeft w:val="0"/>
      <w:marRight w:val="0"/>
      <w:marTop w:val="0"/>
      <w:marBottom w:val="0"/>
      <w:divBdr>
        <w:top w:val="none" w:sz="0" w:space="0" w:color="auto"/>
        <w:left w:val="none" w:sz="0" w:space="0" w:color="auto"/>
        <w:bottom w:val="none" w:sz="0" w:space="0" w:color="auto"/>
        <w:right w:val="none" w:sz="0" w:space="0" w:color="auto"/>
      </w:divBdr>
    </w:div>
    <w:div w:id="881214427">
      <w:bodyDiv w:val="1"/>
      <w:marLeft w:val="0"/>
      <w:marRight w:val="0"/>
      <w:marTop w:val="0"/>
      <w:marBottom w:val="0"/>
      <w:divBdr>
        <w:top w:val="none" w:sz="0" w:space="0" w:color="auto"/>
        <w:left w:val="none" w:sz="0" w:space="0" w:color="auto"/>
        <w:bottom w:val="none" w:sz="0" w:space="0" w:color="auto"/>
        <w:right w:val="none" w:sz="0" w:space="0" w:color="auto"/>
      </w:divBdr>
    </w:div>
    <w:div w:id="889268165">
      <w:bodyDiv w:val="1"/>
      <w:marLeft w:val="0"/>
      <w:marRight w:val="0"/>
      <w:marTop w:val="0"/>
      <w:marBottom w:val="0"/>
      <w:divBdr>
        <w:top w:val="none" w:sz="0" w:space="0" w:color="auto"/>
        <w:left w:val="none" w:sz="0" w:space="0" w:color="auto"/>
        <w:bottom w:val="none" w:sz="0" w:space="0" w:color="auto"/>
        <w:right w:val="none" w:sz="0" w:space="0" w:color="auto"/>
      </w:divBdr>
    </w:div>
    <w:div w:id="1112944279">
      <w:bodyDiv w:val="1"/>
      <w:marLeft w:val="0"/>
      <w:marRight w:val="0"/>
      <w:marTop w:val="0"/>
      <w:marBottom w:val="0"/>
      <w:divBdr>
        <w:top w:val="none" w:sz="0" w:space="0" w:color="auto"/>
        <w:left w:val="none" w:sz="0" w:space="0" w:color="auto"/>
        <w:bottom w:val="none" w:sz="0" w:space="0" w:color="auto"/>
        <w:right w:val="none" w:sz="0" w:space="0" w:color="auto"/>
      </w:divBdr>
    </w:div>
    <w:div w:id="1312833317">
      <w:bodyDiv w:val="1"/>
      <w:marLeft w:val="0"/>
      <w:marRight w:val="0"/>
      <w:marTop w:val="0"/>
      <w:marBottom w:val="0"/>
      <w:divBdr>
        <w:top w:val="none" w:sz="0" w:space="0" w:color="auto"/>
        <w:left w:val="none" w:sz="0" w:space="0" w:color="auto"/>
        <w:bottom w:val="none" w:sz="0" w:space="0" w:color="auto"/>
        <w:right w:val="none" w:sz="0" w:space="0" w:color="auto"/>
      </w:divBdr>
    </w:div>
    <w:div w:id="1341274502">
      <w:bodyDiv w:val="1"/>
      <w:marLeft w:val="0"/>
      <w:marRight w:val="0"/>
      <w:marTop w:val="0"/>
      <w:marBottom w:val="0"/>
      <w:divBdr>
        <w:top w:val="none" w:sz="0" w:space="0" w:color="auto"/>
        <w:left w:val="none" w:sz="0" w:space="0" w:color="auto"/>
        <w:bottom w:val="none" w:sz="0" w:space="0" w:color="auto"/>
        <w:right w:val="none" w:sz="0" w:space="0" w:color="auto"/>
      </w:divBdr>
    </w:div>
    <w:div w:id="1725252608">
      <w:bodyDiv w:val="1"/>
      <w:marLeft w:val="0"/>
      <w:marRight w:val="0"/>
      <w:marTop w:val="0"/>
      <w:marBottom w:val="0"/>
      <w:divBdr>
        <w:top w:val="none" w:sz="0" w:space="0" w:color="auto"/>
        <w:left w:val="none" w:sz="0" w:space="0" w:color="auto"/>
        <w:bottom w:val="none" w:sz="0" w:space="0" w:color="auto"/>
        <w:right w:val="none" w:sz="0" w:space="0" w:color="auto"/>
      </w:divBdr>
    </w:div>
    <w:div w:id="1786922168">
      <w:bodyDiv w:val="1"/>
      <w:marLeft w:val="0"/>
      <w:marRight w:val="0"/>
      <w:marTop w:val="0"/>
      <w:marBottom w:val="0"/>
      <w:divBdr>
        <w:top w:val="none" w:sz="0" w:space="0" w:color="auto"/>
        <w:left w:val="none" w:sz="0" w:space="0" w:color="auto"/>
        <w:bottom w:val="none" w:sz="0" w:space="0" w:color="auto"/>
        <w:right w:val="none" w:sz="0" w:space="0" w:color="auto"/>
      </w:divBdr>
    </w:div>
    <w:div w:id="181922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Cachia Stefan V at MAFA</cp:lastModifiedBy>
  <cp:revision>5</cp:revision>
  <cp:lastPrinted>2019-07-09T07:31:00Z</cp:lastPrinted>
  <dcterms:created xsi:type="dcterms:W3CDTF">2020-07-15T21:05:00Z</dcterms:created>
  <dcterms:modified xsi:type="dcterms:W3CDTF">2020-09-28T19:47:00Z</dcterms:modified>
</cp:coreProperties>
</file>